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ind w:right="340" w:rightChars="170"/>
        <w:rPr>
          <w:rFonts w:ascii="Times New Roman" w:hAnsi="Times New Roman"/>
          <w:sz w:val="40"/>
          <w:szCs w:val="40"/>
        </w:rPr>
      </w:pPr>
    </w:p>
    <w:p>
      <w:pPr>
        <w:tabs>
          <w:tab w:val="left" w:pos="0"/>
          <w:tab w:val="left" w:pos="7419"/>
        </w:tabs>
        <w:spacing w:line="360" w:lineRule="auto"/>
        <w:ind w:left="1" w:right="340" w:rightChars="170"/>
        <w:jc w:val="left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ab/>
      </w:r>
    </w:p>
    <w:p>
      <w:pPr>
        <w:tabs>
          <w:tab w:val="left" w:pos="0"/>
        </w:tabs>
        <w:spacing w:line="360" w:lineRule="auto"/>
        <w:ind w:left="1" w:right="340" w:rightChars="170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hint="eastAsia" w:ascii="Times New Roman" w:hAnsi="Times New Roman"/>
          <w:b/>
          <w:sz w:val="52"/>
          <w:szCs w:val="52"/>
        </w:rPr>
        <w:t>VOC设备系统更换沸石转轮及高温阀维修项目</w:t>
      </w:r>
    </w:p>
    <w:p>
      <w:pPr>
        <w:tabs>
          <w:tab w:val="left" w:pos="0"/>
        </w:tabs>
        <w:spacing w:line="360" w:lineRule="auto"/>
        <w:ind w:left="1" w:right="340" w:rightChars="170"/>
        <w:jc w:val="center"/>
        <w:rPr>
          <w:rFonts w:hint="eastAsia" w:ascii="Times New Roman" w:hAnsi="Times New Roman"/>
          <w:b/>
          <w:sz w:val="52"/>
          <w:szCs w:val="52"/>
        </w:rPr>
      </w:pP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/>
          <w:b/>
          <w:sz w:val="80"/>
          <w:szCs w:val="80"/>
        </w:rPr>
      </w:pPr>
      <w:r>
        <w:rPr>
          <w:rFonts w:ascii="Times New Roman" w:hAnsi="Times New Roman" w:eastAsia="黑体"/>
          <w:b/>
          <w:sz w:val="80"/>
          <w:szCs w:val="80"/>
        </w:rPr>
        <w:t>技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黑体"/>
          <w:b/>
          <w:sz w:val="80"/>
          <w:szCs w:val="80"/>
        </w:rPr>
      </w:pPr>
      <w:r>
        <w:rPr>
          <w:rFonts w:ascii="Times New Roman" w:hAnsi="Times New Roman" w:eastAsia="黑体"/>
          <w:b/>
          <w:sz w:val="80"/>
          <w:szCs w:val="80"/>
        </w:rPr>
        <w:t>术</w:t>
      </w:r>
    </w:p>
    <w:p>
      <w:pPr>
        <w:adjustRightInd w:val="0"/>
        <w:snapToGrid w:val="0"/>
        <w:spacing w:line="360" w:lineRule="auto"/>
        <w:ind w:right="-2" w:rightChars="-1"/>
        <w:jc w:val="center"/>
        <w:rPr>
          <w:rFonts w:ascii="Times New Roman" w:hAnsi="Times New Roman" w:eastAsia="黑体"/>
          <w:b/>
          <w:sz w:val="80"/>
          <w:szCs w:val="80"/>
        </w:rPr>
      </w:pPr>
      <w:r>
        <w:rPr>
          <w:rFonts w:hint="eastAsia" w:ascii="Times New Roman" w:hAnsi="Times New Roman" w:eastAsia="黑体"/>
          <w:b/>
          <w:sz w:val="80"/>
          <w:szCs w:val="80"/>
        </w:rPr>
        <w:t>要</w:t>
      </w:r>
    </w:p>
    <w:p>
      <w:pPr>
        <w:adjustRightInd w:val="0"/>
        <w:snapToGrid w:val="0"/>
        <w:spacing w:line="360" w:lineRule="auto"/>
        <w:ind w:right="-2" w:rightChars="-1"/>
        <w:jc w:val="center"/>
        <w:rPr>
          <w:rFonts w:ascii="Times New Roman" w:hAnsi="Times New Roman" w:eastAsia="黑体"/>
          <w:b/>
          <w:sz w:val="80"/>
          <w:szCs w:val="80"/>
        </w:rPr>
      </w:pPr>
      <w:r>
        <w:rPr>
          <w:rFonts w:hint="eastAsia" w:ascii="Times New Roman" w:hAnsi="Times New Roman" w:eastAsia="黑体"/>
          <w:b/>
          <w:sz w:val="80"/>
          <w:szCs w:val="80"/>
        </w:rPr>
        <w:t>求</w:t>
      </w:r>
    </w:p>
    <w:p>
      <w:pPr>
        <w:adjustRightInd w:val="0"/>
        <w:snapToGrid w:val="0"/>
        <w:spacing w:line="360" w:lineRule="auto"/>
        <w:ind w:right="-2" w:rightChars="-1" w:firstLine="2891" w:firstLineChars="800"/>
        <w:rPr>
          <w:rFonts w:ascii="Times New Roman" w:hAnsi="Times New Roman" w:eastAsia="黑体"/>
          <w:b/>
          <w:sz w:val="36"/>
          <w:szCs w:val="36"/>
          <w:u w:val="single"/>
        </w:rPr>
      </w:pPr>
    </w:p>
    <w:p>
      <w:pPr>
        <w:adjustRightInd w:val="0"/>
        <w:snapToGrid w:val="0"/>
        <w:spacing w:line="360" w:lineRule="auto"/>
        <w:ind w:right="-2" w:rightChars="-1" w:firstLine="2891" w:firstLineChars="800"/>
        <w:rPr>
          <w:rFonts w:ascii="Times New Roman" w:hAnsi="Times New Roman" w:eastAsia="黑体"/>
          <w:b/>
          <w:sz w:val="36"/>
          <w:szCs w:val="36"/>
          <w:u w:val="single"/>
        </w:rPr>
      </w:pPr>
    </w:p>
    <w:p>
      <w:pPr>
        <w:adjustRightInd w:val="0"/>
        <w:snapToGrid w:val="0"/>
        <w:spacing w:line="360" w:lineRule="auto"/>
        <w:ind w:right="-2" w:rightChars="-1" w:firstLine="2891" w:firstLineChars="800"/>
        <w:rPr>
          <w:rFonts w:ascii="Times New Roman" w:hAnsi="Times New Roman" w:eastAsia="黑体"/>
          <w:b/>
          <w:sz w:val="36"/>
          <w:szCs w:val="36"/>
          <w:u w:val="single"/>
        </w:rPr>
      </w:pPr>
    </w:p>
    <w:p>
      <w:pPr>
        <w:adjustRightInd w:val="0"/>
        <w:snapToGrid w:val="0"/>
        <w:spacing w:line="360" w:lineRule="auto"/>
        <w:ind w:right="-2" w:rightChars="-1" w:firstLine="2891" w:firstLineChars="800"/>
        <w:rPr>
          <w:rFonts w:ascii="Times New Roman" w:hAnsi="Times New Roman" w:eastAsia="黑体"/>
          <w:b/>
          <w:sz w:val="36"/>
          <w:szCs w:val="36"/>
          <w:u w:val="single"/>
        </w:rPr>
      </w:pPr>
    </w:p>
    <w:p>
      <w:pPr>
        <w:adjustRightInd w:val="0"/>
        <w:snapToGrid w:val="0"/>
        <w:spacing w:line="360" w:lineRule="auto"/>
        <w:ind w:right="-2" w:rightChars="-1" w:firstLine="2891" w:firstLineChars="800"/>
        <w:rPr>
          <w:rFonts w:ascii="Times New Roman" w:hAnsi="Times New Roman" w:eastAsia="黑体"/>
          <w:b/>
          <w:sz w:val="36"/>
          <w:szCs w:val="36"/>
          <w:u w:val="single"/>
        </w:rPr>
      </w:pPr>
    </w:p>
    <w:p>
      <w:pPr>
        <w:adjustRightInd w:val="0"/>
        <w:snapToGrid w:val="0"/>
        <w:spacing w:line="360" w:lineRule="auto"/>
        <w:ind w:right="-2" w:rightChars="-1"/>
        <w:rPr>
          <w:rFonts w:asciiTheme="minorEastAsia" w:hAnsiTheme="minorEastAsia" w:eastAsiaTheme="minorEastAsia"/>
          <w:b/>
          <w:bCs/>
          <w:kern w:val="44"/>
          <w:sz w:val="28"/>
          <w:szCs w:val="30"/>
        </w:rPr>
      </w:pPr>
    </w:p>
    <w:sdt>
      <w:sdtPr>
        <w:rPr>
          <w:rFonts w:ascii="宋体" w:hAnsi="宋体"/>
          <w:sz w:val="32"/>
          <w:szCs w:val="32"/>
        </w:rPr>
        <w:id w:val="147470433"/>
        <w:docPartObj>
          <w:docPartGallery w:val="Table of Contents"/>
          <w:docPartUnique/>
        </w:docPartObj>
      </w:sdtPr>
      <w:sdtEndPr>
        <w:rPr>
          <w:rFonts w:ascii="宋体" w:hAnsi="宋体"/>
          <w:sz w:val="32"/>
          <w:szCs w:val="32"/>
        </w:rPr>
      </w:sdtEndPr>
      <w:sdtContent>
        <w:p>
          <w:pPr>
            <w:jc w:val="center"/>
            <w:rPr>
              <w:b/>
              <w:sz w:val="32"/>
              <w:szCs w:val="32"/>
            </w:rPr>
          </w:pPr>
          <w:r>
            <w:rPr>
              <w:rFonts w:ascii="宋体" w:hAnsi="宋体"/>
              <w:b/>
              <w:sz w:val="36"/>
              <w:szCs w:val="36"/>
            </w:rPr>
            <w:t>目录</w:t>
          </w:r>
        </w:p>
        <w:p>
          <w:pPr>
            <w:pStyle w:val="15"/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</w:pPr>
          <w:r>
            <w:rPr>
              <w:rFonts w:ascii="Verdana" w:hAnsi="Verdana"/>
            </w:rPr>
            <w:fldChar w:fldCharType="begin"/>
          </w:r>
          <w:r>
            <w:instrText xml:space="preserve">TOC \o "1-1" \h \u </w:instrText>
          </w:r>
          <w:r>
            <w:rPr>
              <w:rFonts w:ascii="Verdana" w:hAnsi="Verdana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HYPERLINK \l "_Toc108075950"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>一、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>项目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背景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PAGEREF _Toc108075950 \h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>2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</w:p>
        <w:p>
          <w:pPr>
            <w:pStyle w:val="15"/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</w:pP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HYPERLINK \l "_Toc108075951"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>二、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项目内容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PAGEREF _Toc108075951 \h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>2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</w:p>
        <w:p>
          <w:pPr>
            <w:pStyle w:val="15"/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</w:pP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HYPERLINK \l "_Toc108075952"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>三、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设计制造的依据和标准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2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</w:p>
        <w:p>
          <w:pPr>
            <w:pStyle w:val="15"/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</w:pP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HYPERLINK \l "_Toc108075955"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四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>、质量标准及质量控制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 xml:space="preserve"> 3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</w:p>
        <w:p>
          <w:pPr>
            <w:pStyle w:val="15"/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</w:pP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HYPERLINK \l "_Toc108075952"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五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>、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维修安装要求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3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</w:p>
        <w:p>
          <w:pPr>
            <w:pStyle w:val="15"/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</w:pP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HYPERLINK \l "_Toc108075955"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六、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质量标准及质量控制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3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</w:p>
        <w:p>
          <w:pPr>
            <w:pStyle w:val="15"/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</w:pP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HYPERLINK \l "_Toc108075952"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七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>、制造和验收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3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</w:p>
        <w:p>
          <w:pPr>
            <w:pStyle w:val="15"/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</w:pP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HYPERLINK \l "_Toc108075955"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八、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调试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3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</w:p>
        <w:p>
          <w:pPr>
            <w:pStyle w:val="15"/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</w:pP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HYPERLINK \l "_Toc108075952"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九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>、质量保证及售后服务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3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</w:p>
        <w:p>
          <w:pPr>
            <w:pStyle w:val="15"/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</w:pP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HYPERLINK \l "_Toc108075955"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十、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资质及人员要求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3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</w:p>
        <w:p>
          <w:pPr>
            <w:pStyle w:val="15"/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</w:pP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begin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instrText xml:space="preserve"> HYPERLINK \l "_Toc108075952" </w:instrTex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separate"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十一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>、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GB" w:eastAsia="zh-CN"/>
            </w:rPr>
            <w:t>保密条款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tab/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  <w:lang w:val="en-US" w:eastAsia="zh-CN"/>
            </w:rPr>
            <w:t>3</w:t>
          </w:r>
          <w:r>
            <w:rPr>
              <w:rStyle w:val="23"/>
              <w:rFonts w:hint="eastAsia" w:ascii="Verdana" w:hAnsi="Verdana" w:eastAsia="宋体" w:cs="Times New Roman"/>
              <w:b/>
              <w:sz w:val="28"/>
              <w:szCs w:val="28"/>
            </w:rPr>
            <w:fldChar w:fldCharType="end"/>
          </w:r>
        </w:p>
        <w:p/>
        <w:p>
          <w:pPr>
            <w:pStyle w:val="43"/>
            <w:tabs>
              <w:tab w:val="right" w:leader="dot" w:pos="9354"/>
            </w:tabs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240" w:lineRule="atLeast"/>
      </w:pPr>
    </w:p>
    <w:p>
      <w:pPr>
        <w:pStyle w:val="17"/>
        <w:numPr>
          <w:ilvl w:val="0"/>
          <w:numId w:val="0"/>
        </w:numPr>
        <w:spacing w:before="120" w:line="360" w:lineRule="auto"/>
        <w:ind w:leftChars="0"/>
        <w:jc w:val="left"/>
        <w:rPr>
          <w:rFonts w:hint="eastAsia" w:eastAsia="宋体"/>
          <w:lang w:eastAsia="zh-CN"/>
        </w:rPr>
      </w:pPr>
      <w:bookmarkStart w:id="0" w:name="_Toc108075950"/>
      <w:bookmarkStart w:id="1" w:name="_Toc21477"/>
      <w:r>
        <w:rPr>
          <w:rFonts w:hint="eastAsia"/>
          <w:lang w:val="en-US" w:eastAsia="zh-CN"/>
        </w:rPr>
        <w:t>一、</w:t>
      </w:r>
      <w:r>
        <w:rPr>
          <w:rFonts w:hint="eastAsia"/>
        </w:rPr>
        <w:t>项目</w:t>
      </w:r>
      <w:bookmarkEnd w:id="0"/>
      <w:bookmarkEnd w:id="1"/>
      <w:r>
        <w:rPr>
          <w:rFonts w:hint="eastAsia"/>
          <w:lang w:val="en-US" w:eastAsia="zh-CN"/>
        </w:rPr>
        <w:t>背景</w:t>
      </w:r>
    </w:p>
    <w:p>
      <w:pPr>
        <w:spacing w:line="360" w:lineRule="auto"/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车身部涂装车间</w:t>
      </w:r>
      <w:r>
        <w:rPr>
          <w:rFonts w:hint="eastAsia"/>
          <w:sz w:val="28"/>
          <w:szCs w:val="28"/>
          <w:lang w:val="en-US" w:eastAsia="zh-CN"/>
        </w:rPr>
        <w:t>VOC设备经过全面检查后：</w:t>
      </w:r>
    </w:p>
    <w:p>
      <w:pPr>
        <w:numPr>
          <w:ilvl w:val="0"/>
          <w:numId w:val="1"/>
        </w:numPr>
        <w:spacing w:line="360" w:lineRule="auto"/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吸附转轮C堵塞严重，处理效率只有30%，不满足环保处理废气要求，同时吸附转轮C偏心导致链条有脱轨安全风险导致停产。</w:t>
      </w:r>
    </w:p>
    <w:p>
      <w:pPr>
        <w:numPr>
          <w:ilvl w:val="0"/>
          <w:numId w:val="1"/>
        </w:num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RTO底部高温阀出现卡死无法调节情况，导致高温漏气无法控制排放比例。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由于转轮和阀门是非标定制产品，</w:t>
      </w:r>
      <w:r>
        <w:rPr>
          <w:rFonts w:hint="eastAsia"/>
          <w:sz w:val="28"/>
          <w:szCs w:val="28"/>
        </w:rPr>
        <w:t>需要专业的公司进行</w:t>
      </w:r>
      <w:r>
        <w:rPr>
          <w:rFonts w:hint="eastAsia"/>
          <w:sz w:val="28"/>
          <w:szCs w:val="28"/>
          <w:lang w:val="en-US" w:eastAsia="zh-CN"/>
        </w:rPr>
        <w:t>维修及更换，</w:t>
      </w:r>
      <w:r>
        <w:rPr>
          <w:rFonts w:hint="eastAsia"/>
          <w:sz w:val="28"/>
          <w:szCs w:val="28"/>
        </w:rPr>
        <w:t>确保设备正常运行</w:t>
      </w:r>
      <w:r>
        <w:rPr>
          <w:rFonts w:hint="eastAsia"/>
          <w:sz w:val="28"/>
          <w:szCs w:val="28"/>
          <w:lang w:val="en-US" w:eastAsia="zh-CN"/>
        </w:rPr>
        <w:t>同时避免安全问题的发生</w:t>
      </w:r>
      <w:r>
        <w:rPr>
          <w:rFonts w:hint="eastAsia"/>
          <w:sz w:val="28"/>
          <w:szCs w:val="28"/>
        </w:rPr>
        <w:t>。</w:t>
      </w:r>
    </w:p>
    <w:p>
      <w:pPr>
        <w:pStyle w:val="17"/>
        <w:numPr>
          <w:ilvl w:val="0"/>
          <w:numId w:val="0"/>
        </w:numPr>
        <w:spacing w:before="120" w:line="360" w:lineRule="auto"/>
        <w:ind w:leftChars="0"/>
        <w:jc w:val="left"/>
      </w:pPr>
      <w:bookmarkStart w:id="2" w:name="_Toc108075951"/>
      <w:r>
        <w:rPr>
          <w:rFonts w:hint="eastAsia"/>
          <w:lang w:val="en-US" w:eastAsia="zh-CN"/>
        </w:rPr>
        <w:t>二、项目</w:t>
      </w:r>
      <w:r>
        <w:rPr>
          <w:rFonts w:hint="eastAsia"/>
        </w:rPr>
        <w:t>内容</w:t>
      </w:r>
      <w:bookmarkEnd w:id="2"/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2.1本项目为交钥匙工程，包含</w:t>
      </w:r>
      <w:r>
        <w:rPr>
          <w:rFonts w:hint="eastAsia" w:eastAsia="宋体" w:cs="Times New Roman"/>
          <w:sz w:val="28"/>
          <w:szCs w:val="28"/>
          <w:lang w:val="en-US" w:eastAsia="zh-CN"/>
        </w:rPr>
        <w:t>高温阀门、沸石分子筛</w:t>
      </w:r>
      <w:r>
        <w:rPr>
          <w:rFonts w:hint="eastAsia" w:eastAsia="宋体" w:cs="Times New Roman"/>
          <w:sz w:val="28"/>
          <w:szCs w:val="28"/>
        </w:rPr>
        <w:t>转轮的设计、制造、出厂试验、运输、现场验收、培训、资料验收</w:t>
      </w:r>
      <w:r>
        <w:rPr>
          <w:rFonts w:hint="eastAsia" w:eastAsia="宋体" w:cs="Times New Roman"/>
          <w:sz w:val="28"/>
          <w:szCs w:val="28"/>
          <w:lang w:eastAsia="zh-CN"/>
        </w:rPr>
        <w:t>、</w:t>
      </w:r>
      <w:r>
        <w:rPr>
          <w:rFonts w:hint="eastAsia" w:eastAsia="宋体" w:cs="Times New Roman"/>
          <w:sz w:val="28"/>
          <w:szCs w:val="28"/>
        </w:rPr>
        <w:t>转轮更换完毕后，对整个系统程序进行优化升级，保证设备稳定运行，达标排放，并提供优化后的加密程序</w:t>
      </w:r>
      <w:r>
        <w:rPr>
          <w:rFonts w:hint="eastAsia" w:eastAsia="宋体" w:cs="Times New Roman"/>
          <w:sz w:val="28"/>
          <w:szCs w:val="28"/>
          <w:lang w:val="en-US" w:eastAsia="zh-CN"/>
        </w:rPr>
        <w:t>以及</w:t>
      </w:r>
      <w:r>
        <w:rPr>
          <w:rFonts w:hint="eastAsia" w:eastAsia="宋体" w:cs="Times New Roman"/>
          <w:sz w:val="28"/>
          <w:szCs w:val="28"/>
        </w:rPr>
        <w:t>售后服务等相关工作。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  <w:lang w:val="en-US" w:eastAsia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2.2 设备交付工期：备件制作周期为</w:t>
      </w:r>
      <w:r>
        <w:rPr>
          <w:rFonts w:hint="eastAsia" w:cs="Times New Roman"/>
          <w:sz w:val="28"/>
          <w:szCs w:val="28"/>
          <w:lang w:val="en-US" w:eastAsia="zh-CN"/>
        </w:rPr>
        <w:t>30</w:t>
      </w:r>
      <w:r>
        <w:rPr>
          <w:rFonts w:hint="eastAsia" w:eastAsia="宋体" w:cs="Times New Roman"/>
          <w:sz w:val="28"/>
          <w:szCs w:val="28"/>
          <w:lang w:val="en-US" w:eastAsia="zh-CN"/>
        </w:rPr>
        <w:t xml:space="preserve"> 天</w:t>
      </w:r>
      <w:r>
        <w:rPr>
          <w:rFonts w:hint="eastAsia" w:cs="Times New Roman"/>
          <w:sz w:val="28"/>
          <w:szCs w:val="28"/>
          <w:lang w:val="en-US" w:eastAsia="zh-CN"/>
        </w:rPr>
        <w:t>内</w:t>
      </w:r>
      <w:r>
        <w:rPr>
          <w:rFonts w:hint="eastAsia" w:eastAsia="宋体" w:cs="Times New Roman"/>
          <w:sz w:val="28"/>
          <w:szCs w:val="28"/>
          <w:lang w:val="en-US" w:eastAsia="zh-CN"/>
        </w:rPr>
        <w:t>，现场安装时间以</w:t>
      </w:r>
      <w:r>
        <w:rPr>
          <w:rFonts w:hint="eastAsia" w:cs="Times New Roman"/>
          <w:sz w:val="28"/>
          <w:szCs w:val="28"/>
          <w:lang w:val="en-US" w:eastAsia="zh-CN"/>
        </w:rPr>
        <w:t>招标人</w:t>
      </w:r>
      <w:r>
        <w:rPr>
          <w:rFonts w:hint="eastAsia" w:eastAsia="宋体" w:cs="Times New Roman"/>
          <w:sz w:val="28"/>
          <w:szCs w:val="28"/>
          <w:lang w:val="en-US" w:eastAsia="zh-CN"/>
        </w:rPr>
        <w:t>书面通知为准</w:t>
      </w:r>
      <w:r>
        <w:rPr>
          <w:rFonts w:hint="eastAsia" w:cs="Times New Roman"/>
          <w:sz w:val="28"/>
          <w:szCs w:val="28"/>
          <w:lang w:val="en-US" w:eastAsia="zh-CN"/>
        </w:rPr>
        <w:t>，现场施工周期5天内（生产线停产施工）</w:t>
      </w:r>
      <w:r>
        <w:rPr>
          <w:rFonts w:hint="eastAsia" w:eastAsia="宋体" w:cs="Times New Roman"/>
          <w:sz w:val="28"/>
          <w:szCs w:val="28"/>
          <w:lang w:val="en-US"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  <w:lang w:val="en-US" w:eastAsia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 xml:space="preserve">2.3 </w:t>
      </w:r>
      <w:r>
        <w:rPr>
          <w:rFonts w:hint="eastAsia" w:cs="Times New Roman"/>
          <w:sz w:val="28"/>
          <w:szCs w:val="28"/>
          <w:lang w:val="en-US" w:eastAsia="zh-CN"/>
        </w:rPr>
        <w:t>中标人</w:t>
      </w:r>
      <w:r>
        <w:rPr>
          <w:rFonts w:hint="eastAsia" w:eastAsia="宋体" w:cs="Times New Roman"/>
          <w:sz w:val="28"/>
          <w:szCs w:val="28"/>
          <w:lang w:val="en-US" w:eastAsia="zh-CN"/>
        </w:rPr>
        <w:t>须赴项目现场勘查并开展技术交流，确保项目实施的精准性与可行性。</w:t>
      </w:r>
    </w:p>
    <w:p>
      <w:pPr>
        <w:spacing w:line="360" w:lineRule="auto"/>
        <w:ind w:firstLine="560" w:firstLineChars="200"/>
        <w:jc w:val="left"/>
        <w:rPr>
          <w:rFonts w:hint="default" w:eastAsia="宋体" w:cs="Times New Roman"/>
          <w:sz w:val="28"/>
          <w:szCs w:val="28"/>
          <w:lang w:val="en-US" w:eastAsia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2.4 项目范围</w:t>
      </w:r>
    </w:p>
    <w:tbl>
      <w:tblPr>
        <w:tblStyle w:val="20"/>
        <w:tblW w:w="8690" w:type="dxa"/>
        <w:tblInd w:w="80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2237"/>
        <w:gridCol w:w="3597"/>
        <w:gridCol w:w="880"/>
        <w:gridCol w:w="10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08" w:type="dxa"/>
          </w:tcPr>
          <w:p>
            <w:pPr>
              <w:spacing w:line="360" w:lineRule="auto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2237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内容</w:t>
            </w:r>
          </w:p>
        </w:tc>
        <w:tc>
          <w:tcPr>
            <w:tcW w:w="3597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型号</w:t>
            </w:r>
          </w:p>
        </w:tc>
        <w:tc>
          <w:tcPr>
            <w:tcW w:w="880" w:type="dxa"/>
          </w:tcPr>
          <w:p>
            <w:pPr>
              <w:spacing w:line="360" w:lineRule="auto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1068" w:type="dxa"/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eastAsia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品牌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908" w:type="dxa"/>
          </w:tcPr>
          <w:p>
            <w:pPr>
              <w:spacing w:line="360" w:lineRule="auto"/>
              <w:jc w:val="center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1</w:t>
            </w:r>
          </w:p>
        </w:tc>
        <w:tc>
          <w:tcPr>
            <w:tcW w:w="2237" w:type="dxa"/>
          </w:tcPr>
          <w:p>
            <w:pPr>
              <w:spacing w:line="360" w:lineRule="auto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更换吸附转轮C</w:t>
            </w:r>
          </w:p>
        </w:tc>
        <w:tc>
          <w:tcPr>
            <w:tcW w:w="3597" w:type="dxa"/>
          </w:tcPr>
          <w:p>
            <w:pPr>
              <w:spacing w:line="360" w:lineRule="auto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直径4200mm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（实际尺寸以现场实物为主）</w:t>
            </w: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，厚度400mm，沸石分子筛</w:t>
            </w:r>
          </w:p>
        </w:tc>
        <w:tc>
          <w:tcPr>
            <w:tcW w:w="880" w:type="dxa"/>
          </w:tcPr>
          <w:p>
            <w:pPr>
              <w:spacing w:line="360" w:lineRule="auto"/>
              <w:jc w:val="center"/>
              <w:rPr>
                <w:rFonts w:hint="eastAsia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68" w:type="dxa"/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纳博科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/霓佳斯/西部技研等品牌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908" w:type="dxa"/>
          </w:tcPr>
          <w:p>
            <w:pPr>
              <w:spacing w:line="360" w:lineRule="auto"/>
              <w:jc w:val="center"/>
              <w:rPr>
                <w:rFonts w:hint="eastAsia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237" w:type="dxa"/>
          </w:tcPr>
          <w:p>
            <w:pPr>
              <w:spacing w:line="360" w:lineRule="auto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维修</w:t>
            </w: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RTO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底部高温</w:t>
            </w: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阀</w:t>
            </w:r>
          </w:p>
        </w:tc>
        <w:tc>
          <w:tcPr>
            <w:tcW w:w="3597" w:type="dxa"/>
          </w:tcPr>
          <w:p>
            <w:pPr>
              <w:spacing w:line="360" w:lineRule="auto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对高温阀进行维修及润滑</w:t>
            </w:r>
          </w:p>
        </w:tc>
        <w:tc>
          <w:tcPr>
            <w:tcW w:w="880" w:type="dxa"/>
          </w:tcPr>
          <w:p>
            <w:pPr>
              <w:spacing w:line="360" w:lineRule="auto"/>
              <w:jc w:val="center"/>
              <w:rPr>
                <w:rFonts w:hint="eastAsia" w:eastAsia="宋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068" w:type="dxa"/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08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37" w:type="dxa"/>
            <w:shd w:val="clear" w:color="auto" w:fill="auto"/>
            <w:vAlign w:val="top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程序优化</w:t>
            </w:r>
          </w:p>
        </w:tc>
        <w:tc>
          <w:tcPr>
            <w:tcW w:w="3597" w:type="dxa"/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eastAsia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整个系统程序优化进行升级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（包含招标人的特殊要求）</w:t>
            </w: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并提供优化后的加密程序</w:t>
            </w:r>
          </w:p>
        </w:tc>
        <w:tc>
          <w:tcPr>
            <w:tcW w:w="880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68" w:type="dxa"/>
            <w:shd w:val="clear" w:color="auto" w:fill="auto"/>
            <w:vAlign w:val="top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08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bookmarkStart w:id="3" w:name="_Toc276739418"/>
            <w:bookmarkStart w:id="4" w:name="_Toc108075952"/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237" w:type="dxa"/>
            <w:shd w:val="clear" w:color="auto" w:fill="auto"/>
            <w:vAlign w:val="top"/>
          </w:tcPr>
          <w:p>
            <w:pPr>
              <w:spacing w:line="360" w:lineRule="auto"/>
              <w:ind w:firstLine="560" w:firstLineChars="200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检测报告</w:t>
            </w:r>
          </w:p>
        </w:tc>
        <w:tc>
          <w:tcPr>
            <w:tcW w:w="3597" w:type="dxa"/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由中标人提供招标人认可的第三方检测机构的检测报告，检测费用由中标人负责</w:t>
            </w:r>
          </w:p>
        </w:tc>
        <w:tc>
          <w:tcPr>
            <w:tcW w:w="880" w:type="dxa"/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68" w:type="dxa"/>
            <w:shd w:val="clear" w:color="auto" w:fill="auto"/>
            <w:vAlign w:val="top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  <w:lang w:val="en-US" w:eastAsia="zh-CN"/>
              </w:rPr>
            </w:pPr>
          </w:p>
        </w:tc>
      </w:tr>
    </w:tbl>
    <w:p>
      <w:pPr>
        <w:pStyle w:val="17"/>
        <w:numPr>
          <w:ilvl w:val="0"/>
          <w:numId w:val="0"/>
        </w:numPr>
        <w:spacing w:before="120" w:line="360" w:lineRule="auto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三、设计制造的依据和标准</w:t>
      </w:r>
      <w:bookmarkEnd w:id="3"/>
      <w:bookmarkStart w:id="5" w:name="_Toc109209131"/>
      <w:bookmarkStart w:id="6" w:name="_Toc276739419"/>
      <w:bookmarkStart w:id="7" w:name="_Toc108484664"/>
      <w:bookmarkStart w:id="8" w:name="_Toc108425001"/>
      <w:bookmarkStart w:id="9" w:name="_Toc105141210"/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3.1 气象条件</w:t>
      </w:r>
      <w:bookmarkEnd w:id="5"/>
      <w:bookmarkEnd w:id="6"/>
      <w:bookmarkEnd w:id="7"/>
      <w:bookmarkEnd w:id="8"/>
      <w:bookmarkEnd w:id="9"/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重庆市属亚热带季风性湿润气候，年平均气温16~18℃，最冷月平均气温4~8℃，年平均降水量较丰富。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表-气候条件</w:t>
      </w:r>
    </w:p>
    <w:tbl>
      <w:tblPr>
        <w:tblStyle w:val="47"/>
        <w:tblW w:w="4899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00B050" w:sz="2" w:space="0"/>
          <w:insideV w:val="single" w:color="00B050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2888"/>
        <w:gridCol w:w="1773"/>
        <w:gridCol w:w="1648"/>
        <w:gridCol w:w="205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B050" w:sz="2" w:space="0"/>
            <w:insideV w:val="single" w:color="00B05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1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名称</w:t>
            </w:r>
          </w:p>
        </w:tc>
        <w:tc>
          <w:tcPr>
            <w:tcW w:w="94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数值</w:t>
            </w:r>
          </w:p>
        </w:tc>
        <w:tc>
          <w:tcPr>
            <w:tcW w:w="8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单位</w:t>
            </w:r>
          </w:p>
        </w:tc>
        <w:tc>
          <w:tcPr>
            <w:tcW w:w="109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B050" w:sz="2" w:space="0"/>
            <w:insideV w:val="single" w:color="00B05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1</w:t>
            </w:r>
          </w:p>
        </w:tc>
        <w:tc>
          <w:tcPr>
            <w:tcW w:w="1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平均气温</w:t>
            </w:r>
          </w:p>
        </w:tc>
        <w:tc>
          <w:tcPr>
            <w:tcW w:w="94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8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℃</w:t>
            </w:r>
          </w:p>
        </w:tc>
        <w:tc>
          <w:tcPr>
            <w:tcW w:w="109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B050" w:sz="2" w:space="0"/>
            <w:insideV w:val="single" w:color="00B05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2</w:t>
            </w:r>
          </w:p>
        </w:tc>
        <w:tc>
          <w:tcPr>
            <w:tcW w:w="1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极端高气温</w:t>
            </w:r>
          </w:p>
        </w:tc>
        <w:tc>
          <w:tcPr>
            <w:tcW w:w="94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41.8</w:t>
            </w:r>
          </w:p>
        </w:tc>
        <w:tc>
          <w:tcPr>
            <w:tcW w:w="8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℃</w:t>
            </w:r>
          </w:p>
        </w:tc>
        <w:tc>
          <w:tcPr>
            <w:tcW w:w="109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B050" w:sz="2" w:space="0"/>
            <w:insideV w:val="single" w:color="00B05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3</w:t>
            </w:r>
          </w:p>
        </w:tc>
        <w:tc>
          <w:tcPr>
            <w:tcW w:w="1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极端低气温</w:t>
            </w:r>
          </w:p>
        </w:tc>
        <w:tc>
          <w:tcPr>
            <w:tcW w:w="94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-</w:t>
            </w: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11.4</w:t>
            </w:r>
          </w:p>
        </w:tc>
        <w:tc>
          <w:tcPr>
            <w:tcW w:w="8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℃</w:t>
            </w:r>
          </w:p>
        </w:tc>
        <w:tc>
          <w:tcPr>
            <w:tcW w:w="109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B050" w:sz="2" w:space="0"/>
            <w:insideV w:val="single" w:color="00B05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4</w:t>
            </w:r>
          </w:p>
        </w:tc>
        <w:tc>
          <w:tcPr>
            <w:tcW w:w="1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年平均降水量</w:t>
            </w:r>
          </w:p>
        </w:tc>
        <w:tc>
          <w:tcPr>
            <w:tcW w:w="94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1</w:t>
            </w: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8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mm</w:t>
            </w:r>
          </w:p>
        </w:tc>
        <w:tc>
          <w:tcPr>
            <w:tcW w:w="109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B050" w:sz="2" w:space="0"/>
            <w:insideV w:val="single" w:color="00B05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5</w:t>
            </w:r>
          </w:p>
        </w:tc>
        <w:tc>
          <w:tcPr>
            <w:tcW w:w="1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年平均气压</w:t>
            </w:r>
          </w:p>
        </w:tc>
        <w:tc>
          <w:tcPr>
            <w:tcW w:w="94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10</w:t>
            </w: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8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kPa</w:t>
            </w:r>
          </w:p>
        </w:tc>
        <w:tc>
          <w:tcPr>
            <w:tcW w:w="109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B050" w:sz="2" w:space="0"/>
            <w:insideV w:val="single" w:color="00B05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6</w:t>
            </w:r>
          </w:p>
        </w:tc>
        <w:tc>
          <w:tcPr>
            <w:tcW w:w="1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年平均风速</w:t>
            </w:r>
          </w:p>
        </w:tc>
        <w:tc>
          <w:tcPr>
            <w:tcW w:w="94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1.9</w:t>
            </w:r>
          </w:p>
        </w:tc>
        <w:tc>
          <w:tcPr>
            <w:tcW w:w="8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m/s</w:t>
            </w:r>
          </w:p>
        </w:tc>
        <w:tc>
          <w:tcPr>
            <w:tcW w:w="109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00B050" w:sz="2" w:space="0"/>
            <w:insideV w:val="single" w:color="00B05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42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7</w:t>
            </w:r>
          </w:p>
        </w:tc>
        <w:tc>
          <w:tcPr>
            <w:tcW w:w="1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年平均相对湿度</w:t>
            </w:r>
          </w:p>
        </w:tc>
        <w:tc>
          <w:tcPr>
            <w:tcW w:w="94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77%</w:t>
            </w:r>
          </w:p>
        </w:tc>
        <w:tc>
          <w:tcPr>
            <w:tcW w:w="87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RH</w:t>
            </w:r>
          </w:p>
        </w:tc>
        <w:tc>
          <w:tcPr>
            <w:tcW w:w="109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default" w:eastAsia="宋体" w:cs="Times New Roman"/>
          <w:sz w:val="28"/>
          <w:szCs w:val="28"/>
        </w:rPr>
        <w:t>基于以上数据</w:t>
      </w:r>
      <w:r>
        <w:rPr>
          <w:rFonts w:hint="eastAsia" w:cs="Times New Roman"/>
          <w:sz w:val="28"/>
          <w:szCs w:val="28"/>
          <w:lang w:eastAsia="zh-CN"/>
        </w:rPr>
        <w:t>（</w:t>
      </w:r>
      <w:r>
        <w:rPr>
          <w:rFonts w:hint="eastAsia" w:cs="Times New Roman"/>
          <w:sz w:val="28"/>
          <w:szCs w:val="28"/>
          <w:lang w:val="en-US" w:eastAsia="zh-CN"/>
        </w:rPr>
        <w:t>仅供参考</w:t>
      </w:r>
      <w:r>
        <w:rPr>
          <w:rFonts w:hint="eastAsia" w:cs="Times New Roman"/>
          <w:sz w:val="28"/>
          <w:szCs w:val="28"/>
          <w:lang w:eastAsia="zh-CN"/>
        </w:rPr>
        <w:t>）</w:t>
      </w:r>
      <w:r>
        <w:rPr>
          <w:rFonts w:hint="default" w:eastAsia="宋体" w:cs="Times New Roman"/>
          <w:sz w:val="28"/>
          <w:szCs w:val="28"/>
        </w:rPr>
        <w:t>，在进行方案设计时，会充分考虑当地气候条件进行优化，以保证设备的良好运行和使用寿命。</w:t>
      </w:r>
    </w:p>
    <w:p>
      <w:pPr>
        <w:pStyle w:val="17"/>
        <w:numPr>
          <w:ilvl w:val="0"/>
          <w:numId w:val="0"/>
        </w:numPr>
        <w:spacing w:before="120" w:line="360" w:lineRule="auto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四、技术要求及配置</w:t>
      </w:r>
    </w:p>
    <w:p>
      <w:pPr>
        <w:spacing w:line="360" w:lineRule="auto"/>
        <w:ind w:firstLine="560" w:firstLineChars="200"/>
        <w:jc w:val="left"/>
        <w:rPr>
          <w:rFonts w:hint="default" w:eastAsia="宋体" w:cs="Times New Roman"/>
          <w:sz w:val="28"/>
          <w:szCs w:val="28"/>
          <w:lang w:val="en-US" w:eastAsia="zh-CN"/>
        </w:rPr>
      </w:pPr>
      <w:r>
        <w:rPr>
          <w:rFonts w:hint="eastAsia" w:eastAsia="宋体" w:cs="Times New Roman"/>
          <w:sz w:val="28"/>
          <w:szCs w:val="28"/>
        </w:rPr>
        <w:t>4.1</w:t>
      </w:r>
      <w:r>
        <w:rPr>
          <w:rFonts w:hint="eastAsia" w:cs="Times New Roman"/>
          <w:sz w:val="28"/>
          <w:szCs w:val="28"/>
          <w:lang w:val="en-US" w:eastAsia="zh-CN"/>
        </w:rPr>
        <w:t xml:space="preserve">  吸附转轮C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4.1.1</w:t>
      </w:r>
      <w:r>
        <w:rPr>
          <w:rFonts w:hint="eastAsia" w:cs="Times New Roman"/>
          <w:sz w:val="28"/>
          <w:szCs w:val="28"/>
          <w:lang w:val="en-US" w:eastAsia="zh-CN"/>
        </w:rPr>
        <w:t>吸附转轮C</w:t>
      </w:r>
      <w:r>
        <w:rPr>
          <w:rFonts w:hint="eastAsia" w:eastAsia="宋体" w:cs="Times New Roman"/>
          <w:sz w:val="28"/>
          <w:szCs w:val="28"/>
        </w:rPr>
        <w:t>设计参数</w:t>
      </w:r>
    </w:p>
    <w:tbl>
      <w:tblPr>
        <w:tblStyle w:val="20"/>
        <w:tblW w:w="8413" w:type="dxa"/>
        <w:tblInd w:w="80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300"/>
        <w:gridCol w:w="2769"/>
        <w:gridCol w:w="13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88" w:type="dxa"/>
          </w:tcPr>
          <w:p>
            <w:pPr>
              <w:spacing w:line="360" w:lineRule="auto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3300" w:type="dxa"/>
          </w:tcPr>
          <w:p>
            <w:pPr>
              <w:spacing w:line="360" w:lineRule="auto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内容</w:t>
            </w:r>
          </w:p>
        </w:tc>
        <w:tc>
          <w:tcPr>
            <w:tcW w:w="2769" w:type="dxa"/>
          </w:tcPr>
          <w:p>
            <w:pPr>
              <w:spacing w:line="360" w:lineRule="auto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要求</w:t>
            </w:r>
          </w:p>
        </w:tc>
        <w:tc>
          <w:tcPr>
            <w:tcW w:w="1356" w:type="dxa"/>
          </w:tcPr>
          <w:p>
            <w:pPr>
              <w:spacing w:line="360" w:lineRule="auto"/>
              <w:jc w:val="left"/>
              <w:rPr>
                <w:rFonts w:hint="eastAsia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品牌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88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1</w:t>
            </w:r>
          </w:p>
        </w:tc>
        <w:tc>
          <w:tcPr>
            <w:tcW w:w="3300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形式</w:t>
            </w:r>
          </w:p>
        </w:tc>
        <w:tc>
          <w:tcPr>
            <w:tcW w:w="2769" w:type="dxa"/>
          </w:tcPr>
          <w:p>
            <w:pPr>
              <w:spacing w:line="360" w:lineRule="auto"/>
              <w:jc w:val="left"/>
              <w:rPr>
                <w:rFonts w:hint="default" w:eastAsia="宋体" w:cs="Times New Roman"/>
                <w:sz w:val="28"/>
                <w:szCs w:val="28"/>
                <w:lang w:val="en-US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直径4200mm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（实际尺寸以现场实物为主）</w:t>
            </w: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，厚度400m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m</w:t>
            </w:r>
          </w:p>
        </w:tc>
        <w:tc>
          <w:tcPr>
            <w:tcW w:w="1356" w:type="dxa"/>
          </w:tcPr>
          <w:p>
            <w:pPr>
              <w:spacing w:line="360" w:lineRule="auto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纳博科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/霓佳斯/西部技研等品牌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88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2</w:t>
            </w:r>
          </w:p>
        </w:tc>
        <w:tc>
          <w:tcPr>
            <w:tcW w:w="3300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吸附材料</w:t>
            </w:r>
          </w:p>
        </w:tc>
        <w:tc>
          <w:tcPr>
            <w:tcW w:w="2769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沸石</w:t>
            </w:r>
          </w:p>
        </w:tc>
        <w:tc>
          <w:tcPr>
            <w:tcW w:w="1356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88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3</w:t>
            </w:r>
          </w:p>
        </w:tc>
        <w:tc>
          <w:tcPr>
            <w:tcW w:w="3300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吸附处理量（Nm³/h）</w:t>
            </w:r>
          </w:p>
        </w:tc>
        <w:tc>
          <w:tcPr>
            <w:tcW w:w="2769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155000</w:t>
            </w:r>
          </w:p>
        </w:tc>
        <w:tc>
          <w:tcPr>
            <w:tcW w:w="1356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88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4</w:t>
            </w:r>
          </w:p>
        </w:tc>
        <w:tc>
          <w:tcPr>
            <w:tcW w:w="3300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浓缩比</w:t>
            </w:r>
          </w:p>
        </w:tc>
        <w:tc>
          <w:tcPr>
            <w:tcW w:w="2769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default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1:</w:t>
            </w:r>
            <w:r>
              <w:rPr>
                <w:rFonts w:hint="eastAsia" w:eastAsia="宋体" w:cs="Times New Roman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356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88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300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净化效率</w:t>
            </w:r>
          </w:p>
        </w:tc>
        <w:tc>
          <w:tcPr>
            <w:tcW w:w="2769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≥9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宋体" w:cs="Times New Roman"/>
                <w:sz w:val="28"/>
                <w:szCs w:val="28"/>
              </w:rPr>
              <w:t>%</w:t>
            </w:r>
          </w:p>
        </w:tc>
        <w:tc>
          <w:tcPr>
            <w:tcW w:w="1356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88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300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脱附温度</w:t>
            </w:r>
          </w:p>
        </w:tc>
        <w:tc>
          <w:tcPr>
            <w:tcW w:w="2769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200℃±20</w:t>
            </w:r>
          </w:p>
        </w:tc>
        <w:tc>
          <w:tcPr>
            <w:tcW w:w="1356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88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300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冷却后气体温度</w:t>
            </w:r>
          </w:p>
        </w:tc>
        <w:tc>
          <w:tcPr>
            <w:tcW w:w="2769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100-120℃</w:t>
            </w:r>
          </w:p>
        </w:tc>
        <w:tc>
          <w:tcPr>
            <w:tcW w:w="1356" w:type="dxa"/>
          </w:tcPr>
          <w:p>
            <w:pPr>
              <w:spacing w:line="360" w:lineRule="auto"/>
              <w:ind w:firstLine="560" w:firstLineChars="200"/>
              <w:jc w:val="left"/>
              <w:rPr>
                <w:rFonts w:hint="eastAsia" w:eastAsia="宋体" w:cs="Times New Roman"/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4.</w:t>
      </w:r>
      <w:r>
        <w:rPr>
          <w:rFonts w:hint="eastAsia" w:eastAsia="宋体" w:cs="Times New Roman"/>
          <w:sz w:val="28"/>
          <w:szCs w:val="28"/>
          <w:lang w:val="en-US" w:eastAsia="zh-CN"/>
        </w:rPr>
        <w:t>1.</w:t>
      </w:r>
      <w:r>
        <w:rPr>
          <w:rFonts w:hint="eastAsia" w:cs="Times New Roman"/>
          <w:sz w:val="28"/>
          <w:szCs w:val="28"/>
          <w:lang w:val="en-US" w:eastAsia="zh-CN"/>
        </w:rPr>
        <w:t>2</w:t>
      </w:r>
      <w:r>
        <w:rPr>
          <w:rFonts w:hint="eastAsia" w:eastAsia="宋体" w:cs="Times New Roman"/>
          <w:sz w:val="28"/>
          <w:szCs w:val="28"/>
        </w:rPr>
        <w:t>耐酸、耐弱碱腐蚀；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  <w:lang w:eastAsia="zh-CN"/>
        </w:rPr>
      </w:pPr>
      <w:r>
        <w:rPr>
          <w:rFonts w:hint="eastAsia" w:eastAsia="宋体" w:cs="Times New Roman"/>
          <w:sz w:val="28"/>
          <w:szCs w:val="28"/>
        </w:rPr>
        <w:t>4.</w:t>
      </w:r>
      <w:r>
        <w:rPr>
          <w:rFonts w:hint="eastAsia" w:eastAsia="宋体" w:cs="Times New Roman"/>
          <w:sz w:val="28"/>
          <w:szCs w:val="28"/>
          <w:lang w:val="en-US" w:eastAsia="zh-CN"/>
        </w:rPr>
        <w:t>1.</w:t>
      </w:r>
      <w:r>
        <w:rPr>
          <w:rFonts w:hint="eastAsia" w:cs="Times New Roman"/>
          <w:sz w:val="28"/>
          <w:szCs w:val="28"/>
          <w:lang w:val="en-US" w:eastAsia="zh-CN"/>
        </w:rPr>
        <w:t>3</w:t>
      </w:r>
      <w:r>
        <w:rPr>
          <w:rFonts w:hint="eastAsia" w:eastAsia="宋体" w:cs="Times New Roman"/>
          <w:sz w:val="28"/>
          <w:szCs w:val="28"/>
        </w:rPr>
        <w:t>使用</w:t>
      </w:r>
      <w:r>
        <w:rPr>
          <w:rFonts w:hint="eastAsia" w:eastAsia="宋体" w:cs="Times New Roman"/>
          <w:sz w:val="28"/>
          <w:szCs w:val="28"/>
          <w:highlight w:val="none"/>
        </w:rPr>
        <w:t>寿命大于</w:t>
      </w:r>
      <w:r>
        <w:rPr>
          <w:rFonts w:hint="eastAsia" w:cs="Times New Roman"/>
          <w:sz w:val="28"/>
          <w:szCs w:val="28"/>
          <w:highlight w:val="none"/>
          <w:lang w:val="en-US" w:eastAsia="zh-CN"/>
        </w:rPr>
        <w:t>6</w:t>
      </w:r>
      <w:r>
        <w:rPr>
          <w:rFonts w:hint="eastAsia" w:eastAsia="宋体" w:cs="Times New Roman"/>
          <w:sz w:val="28"/>
          <w:szCs w:val="28"/>
          <w:highlight w:val="none"/>
        </w:rPr>
        <w:t>年</w:t>
      </w:r>
      <w:r>
        <w:rPr>
          <w:rFonts w:hint="eastAsia" w:eastAsia="宋体" w:cs="Times New Roman"/>
          <w:sz w:val="28"/>
          <w:szCs w:val="28"/>
          <w:highlight w:val="none"/>
          <w:lang w:eastAsia="zh-CN"/>
        </w:rPr>
        <w:t>。</w:t>
      </w:r>
    </w:p>
    <w:p>
      <w:pPr>
        <w:pStyle w:val="17"/>
        <w:numPr>
          <w:ilvl w:val="0"/>
          <w:numId w:val="0"/>
        </w:numPr>
        <w:spacing w:before="120" w:line="360" w:lineRule="auto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五、维修安装要求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5.1将原有有机废气其他附件进行拆除，包括管道、保温、线路等，</w:t>
      </w:r>
      <w:r>
        <w:rPr>
          <w:rFonts w:hint="eastAsia" w:cs="Times New Roman"/>
          <w:sz w:val="28"/>
          <w:szCs w:val="28"/>
          <w:lang w:val="en-US" w:eastAsia="zh-CN"/>
        </w:rPr>
        <w:t>拆除旧的吸附转轮C，</w:t>
      </w:r>
      <w:r>
        <w:rPr>
          <w:rFonts w:hint="eastAsia" w:eastAsia="宋体" w:cs="Times New Roman"/>
          <w:sz w:val="28"/>
          <w:szCs w:val="28"/>
        </w:rPr>
        <w:t>新转轮安装完毕后恢复</w:t>
      </w:r>
      <w:r>
        <w:rPr>
          <w:rFonts w:hint="eastAsia" w:cs="Times New Roman"/>
          <w:sz w:val="28"/>
          <w:szCs w:val="28"/>
          <w:lang w:val="en-US" w:eastAsia="zh-CN"/>
        </w:rPr>
        <w:t>其他附件</w:t>
      </w:r>
      <w:r>
        <w:rPr>
          <w:rFonts w:hint="eastAsia" w:eastAsia="宋体" w:cs="Times New Roman"/>
          <w:sz w:val="28"/>
          <w:szCs w:val="28"/>
        </w:rPr>
        <w:t>，拆除过程中导致损坏，由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按原型号尺寸进行更换恢复。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5.2</w:t>
      </w:r>
      <w:r>
        <w:rPr>
          <w:rFonts w:hint="eastAsia" w:cs="Times New Roman"/>
          <w:sz w:val="28"/>
          <w:szCs w:val="28"/>
          <w:lang w:val="en-US" w:eastAsia="zh-CN"/>
        </w:rPr>
        <w:t>转轮</w:t>
      </w:r>
      <w:r>
        <w:rPr>
          <w:rFonts w:hint="eastAsia" w:eastAsia="宋体" w:cs="Times New Roman"/>
          <w:sz w:val="28"/>
          <w:szCs w:val="28"/>
        </w:rPr>
        <w:t>更换时，对转轮运动轴承进行更换，</w:t>
      </w:r>
      <w:r>
        <w:rPr>
          <w:rFonts w:hint="eastAsia" w:eastAsia="宋体" w:cs="Times New Roman"/>
          <w:sz w:val="28"/>
          <w:szCs w:val="28"/>
          <w:lang w:val="en-US" w:eastAsia="zh-CN"/>
        </w:rPr>
        <w:t>确保转轮安装正确无偏离</w:t>
      </w:r>
      <w:r>
        <w:rPr>
          <w:rFonts w:hint="eastAsia" w:eastAsia="宋体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5.3安装完毕后，转轮之间密封条、密封胶全部进行更换，做好密封；链条重新进行注油保养。</w:t>
      </w:r>
    </w:p>
    <w:p>
      <w:pPr>
        <w:spacing w:line="360" w:lineRule="auto"/>
        <w:ind w:firstLine="560" w:firstLineChars="200"/>
        <w:jc w:val="left"/>
        <w:rPr>
          <w:rFonts w:hint="default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5.4拆除原系统的RTO底部</w:t>
      </w:r>
      <w:r>
        <w:rPr>
          <w:rFonts w:hint="eastAsia" w:eastAsia="宋体" w:cs="Times New Roman"/>
          <w:sz w:val="28"/>
          <w:szCs w:val="28"/>
          <w:lang w:val="en-US" w:eastAsia="zh-CN"/>
        </w:rPr>
        <w:t>高温阀</w:t>
      </w:r>
      <w:r>
        <w:rPr>
          <w:rFonts w:hint="eastAsia" w:cs="Times New Roman"/>
          <w:sz w:val="28"/>
          <w:szCs w:val="28"/>
          <w:lang w:val="en-US" w:eastAsia="zh-CN"/>
        </w:rPr>
        <w:t>保温层，对盘根和转轴进行维修更换，确保开闭正常，再恢复保温层。</w:t>
      </w:r>
    </w:p>
    <w:p>
      <w:pPr>
        <w:spacing w:line="360" w:lineRule="auto"/>
        <w:ind w:firstLine="560" w:firstLineChars="200"/>
        <w:jc w:val="left"/>
        <w:rPr>
          <w:rFonts w:hint="default" w:eastAsia="宋体" w:cs="Times New Roman"/>
          <w:sz w:val="28"/>
          <w:szCs w:val="28"/>
          <w:lang w:val="en-US" w:eastAsia="zh-CN"/>
        </w:rPr>
      </w:pPr>
      <w:r>
        <w:rPr>
          <w:rFonts w:hint="eastAsia" w:eastAsia="宋体" w:cs="Times New Roman"/>
          <w:sz w:val="28"/>
          <w:szCs w:val="28"/>
        </w:rPr>
        <w:t>5.</w:t>
      </w:r>
      <w:r>
        <w:rPr>
          <w:rFonts w:hint="eastAsia" w:cs="Times New Roman"/>
          <w:sz w:val="28"/>
          <w:szCs w:val="28"/>
          <w:lang w:val="en-US" w:eastAsia="zh-CN"/>
        </w:rPr>
        <w:t>5</w:t>
      </w:r>
      <w:r>
        <w:rPr>
          <w:rFonts w:hint="eastAsia" w:eastAsia="宋体" w:cs="Times New Roman"/>
          <w:sz w:val="28"/>
          <w:szCs w:val="28"/>
        </w:rPr>
        <w:t>转轮</w:t>
      </w:r>
      <w:r>
        <w:rPr>
          <w:rFonts w:hint="eastAsia" w:cs="Times New Roman"/>
          <w:sz w:val="28"/>
          <w:szCs w:val="28"/>
          <w:lang w:val="en-US" w:eastAsia="zh-CN"/>
        </w:rPr>
        <w:t>和高温阀</w:t>
      </w:r>
      <w:r>
        <w:rPr>
          <w:rFonts w:hint="eastAsia" w:eastAsia="宋体" w:cs="Times New Roman"/>
          <w:sz w:val="28"/>
          <w:szCs w:val="28"/>
        </w:rPr>
        <w:t>更换完毕后，对整个系统程序进行优化升级，保证设备稳定运行，达标排放</w:t>
      </w:r>
      <w:r>
        <w:rPr>
          <w:rFonts w:hint="eastAsia" w:eastAsia="宋体" w:cs="Times New Roman"/>
          <w:sz w:val="28"/>
          <w:szCs w:val="28"/>
          <w:lang w:eastAsia="zh-CN"/>
        </w:rPr>
        <w:t>，</w:t>
      </w:r>
      <w:r>
        <w:rPr>
          <w:rFonts w:hint="eastAsia" w:eastAsia="宋体" w:cs="Times New Roman"/>
          <w:sz w:val="28"/>
          <w:szCs w:val="28"/>
          <w:lang w:val="en-US" w:eastAsia="zh-CN"/>
        </w:rPr>
        <w:t>并提供优化后的加密程序。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5.</w:t>
      </w:r>
      <w:r>
        <w:rPr>
          <w:rFonts w:hint="eastAsia" w:cs="Times New Roman"/>
          <w:sz w:val="28"/>
          <w:szCs w:val="28"/>
          <w:lang w:val="en-US" w:eastAsia="zh-CN"/>
        </w:rPr>
        <w:t>6</w:t>
      </w:r>
      <w:r>
        <w:rPr>
          <w:rFonts w:hint="eastAsia" w:eastAsia="宋体" w:cs="Times New Roman"/>
          <w:sz w:val="28"/>
          <w:szCs w:val="28"/>
        </w:rPr>
        <w:t>施工过程所有工程机械由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自行负责，拆除过程不得损坏原有厂房基础结构</w:t>
      </w:r>
      <w:r>
        <w:rPr>
          <w:rFonts w:hint="eastAsia" w:cs="Times New Roman"/>
          <w:sz w:val="28"/>
          <w:szCs w:val="28"/>
          <w:lang w:val="en-US" w:eastAsia="zh-CN"/>
        </w:rPr>
        <w:t>及设备设施</w:t>
      </w:r>
      <w:r>
        <w:rPr>
          <w:rFonts w:hint="eastAsia" w:cs="Times New Roman"/>
          <w:sz w:val="28"/>
          <w:szCs w:val="28"/>
          <w:lang w:eastAsia="zh-CN"/>
        </w:rPr>
        <w:t>，</w:t>
      </w:r>
      <w:r>
        <w:rPr>
          <w:rFonts w:hint="eastAsia" w:cs="Times New Roman"/>
          <w:sz w:val="28"/>
          <w:szCs w:val="28"/>
          <w:lang w:val="en-US" w:eastAsia="zh-CN"/>
        </w:rPr>
        <w:t>如有损坏，由中标人进行换新恢复</w:t>
      </w:r>
      <w:r>
        <w:rPr>
          <w:rFonts w:hint="eastAsia" w:eastAsia="宋体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5.7整个项目务必与原机构完全匹配，无缝对接。</w:t>
      </w:r>
    </w:p>
    <w:p>
      <w:pPr>
        <w:spacing w:line="360" w:lineRule="auto"/>
        <w:ind w:firstLine="560" w:firstLineChars="200"/>
        <w:jc w:val="left"/>
        <w:rPr>
          <w:rFonts w:hint="default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5.8项目施工产生的废品废件（旧转轮、旧阀门等）由中标人自行处理。</w:t>
      </w:r>
    </w:p>
    <w:p>
      <w:pPr>
        <w:pStyle w:val="17"/>
        <w:numPr>
          <w:ilvl w:val="0"/>
          <w:numId w:val="0"/>
        </w:numPr>
        <w:spacing w:before="120" w:line="360" w:lineRule="auto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六、质量标准及质量控制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6.1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保证其所供设备设计合理、质量可靠、运行稳定、安全可靠，达到</w:t>
      </w:r>
      <w:r>
        <w:rPr>
          <w:rFonts w:hint="eastAsia" w:cs="Times New Roman"/>
          <w:sz w:val="28"/>
          <w:szCs w:val="28"/>
          <w:lang w:eastAsia="zh-CN"/>
        </w:rPr>
        <w:t>招标人</w:t>
      </w:r>
      <w:r>
        <w:rPr>
          <w:rFonts w:hint="eastAsia" w:eastAsia="宋体" w:cs="Times New Roman"/>
          <w:sz w:val="28"/>
          <w:szCs w:val="28"/>
        </w:rPr>
        <w:t>所规定的技术指标及性能参数，满足</w:t>
      </w:r>
      <w:r>
        <w:rPr>
          <w:rFonts w:hint="eastAsia" w:cs="Times New Roman"/>
          <w:sz w:val="28"/>
          <w:szCs w:val="28"/>
          <w:lang w:eastAsia="zh-CN"/>
        </w:rPr>
        <w:t>招标人</w:t>
      </w:r>
      <w:r>
        <w:rPr>
          <w:rFonts w:hint="eastAsia" w:eastAsia="宋体" w:cs="Times New Roman"/>
          <w:sz w:val="28"/>
          <w:szCs w:val="28"/>
        </w:rPr>
        <w:t>的正常使用。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6.2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提供的产品必须</w:t>
      </w:r>
      <w:r>
        <w:rPr>
          <w:rFonts w:hint="eastAsia" w:eastAsia="宋体" w:cs="Times New Roman"/>
          <w:sz w:val="28"/>
          <w:szCs w:val="28"/>
          <w:lang w:val="en-US" w:eastAsia="zh-CN"/>
        </w:rPr>
        <w:t>提供原厂家的转轮选型技术书及品牌授权书</w:t>
      </w:r>
      <w:r>
        <w:rPr>
          <w:rFonts w:hint="eastAsia" w:eastAsia="宋体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6.3</w:t>
      </w:r>
      <w:r>
        <w:rPr>
          <w:rFonts w:hint="eastAsia" w:cs="Times New Roman"/>
          <w:sz w:val="28"/>
          <w:szCs w:val="28"/>
          <w:lang w:eastAsia="zh-CN"/>
        </w:rPr>
        <w:t>招标人</w:t>
      </w:r>
      <w:r>
        <w:rPr>
          <w:rFonts w:hint="eastAsia" w:eastAsia="宋体" w:cs="Times New Roman"/>
          <w:sz w:val="28"/>
          <w:szCs w:val="28"/>
        </w:rPr>
        <w:t>有权随时对项目实施的全过程进行监督。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须根据</w:t>
      </w:r>
      <w:r>
        <w:rPr>
          <w:rFonts w:hint="eastAsia" w:cs="Times New Roman"/>
          <w:sz w:val="28"/>
          <w:szCs w:val="28"/>
          <w:lang w:eastAsia="zh-CN"/>
        </w:rPr>
        <w:t>招标人</w:t>
      </w:r>
      <w:r>
        <w:rPr>
          <w:rFonts w:hint="eastAsia" w:eastAsia="宋体" w:cs="Times New Roman"/>
          <w:sz w:val="28"/>
          <w:szCs w:val="28"/>
        </w:rPr>
        <w:t>的要求及时提供技术资料并提供监督验收条件。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6.4施工现场需要照明或外接电动工具时，所使用的插座及灯头必须为防爆电器。</w:t>
      </w:r>
    </w:p>
    <w:p>
      <w:pPr>
        <w:pStyle w:val="17"/>
        <w:numPr>
          <w:ilvl w:val="0"/>
          <w:numId w:val="0"/>
        </w:numPr>
        <w:spacing w:before="120" w:line="360" w:lineRule="auto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七</w:t>
      </w:r>
      <w:r>
        <w:rPr>
          <w:rFonts w:hint="eastAsia" w:eastAsia="宋体"/>
          <w:lang w:val="en-US" w:eastAsia="zh-CN"/>
        </w:rPr>
        <w:t>.调试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8.1严格按照本合同规定的设备性能参数进行测试。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8.2调试须满足关键参数控制：脱附A、B、C脱附温度稳定在180-220℃区间。</w:t>
      </w:r>
    </w:p>
    <w:p>
      <w:pPr>
        <w:pStyle w:val="17"/>
        <w:numPr>
          <w:ilvl w:val="0"/>
          <w:numId w:val="0"/>
        </w:numPr>
        <w:spacing w:before="120" w:line="360" w:lineRule="auto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八</w:t>
      </w:r>
      <w:r>
        <w:rPr>
          <w:rFonts w:hint="eastAsia" w:eastAsia="宋体"/>
          <w:lang w:val="en-US" w:eastAsia="zh-CN"/>
        </w:rPr>
        <w:t>、验收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7.1严格按照本合同要求的工程进度进行。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 xml:space="preserve">7.2 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对制造的全过程进行认真的检验和记录，并向</w:t>
      </w:r>
      <w:r>
        <w:rPr>
          <w:rFonts w:hint="eastAsia" w:cs="Times New Roman"/>
          <w:sz w:val="28"/>
          <w:szCs w:val="28"/>
          <w:lang w:eastAsia="zh-CN"/>
        </w:rPr>
        <w:t>招标人</w:t>
      </w:r>
      <w:r>
        <w:rPr>
          <w:rFonts w:hint="eastAsia" w:eastAsia="宋体" w:cs="Times New Roman"/>
          <w:sz w:val="28"/>
          <w:szCs w:val="28"/>
        </w:rPr>
        <w:t>提交完成的检验报告。</w:t>
      </w:r>
    </w:p>
    <w:p>
      <w:pPr>
        <w:spacing w:line="360" w:lineRule="auto"/>
        <w:ind w:firstLine="560" w:firstLineChars="200"/>
        <w:jc w:val="left"/>
        <w:rPr>
          <w:rFonts w:hint="default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7.3设备安装调试完成后，连续稳定运行30个工作日，且C轮废气处理效率≥92%（由中标人提供招标人认可的第三方检测机构的检测报告，检测费用由中标人负责），由中标人提交验收申请并提供相关竣工资料，招标人组织进行验收。</w:t>
      </w:r>
    </w:p>
    <w:p>
      <w:pPr>
        <w:pStyle w:val="17"/>
        <w:numPr>
          <w:ilvl w:val="0"/>
          <w:numId w:val="0"/>
        </w:numPr>
        <w:spacing w:before="120" w:line="360" w:lineRule="auto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九、质量保证及售后服务</w:t>
      </w:r>
    </w:p>
    <w:p>
      <w:pPr>
        <w:spacing w:line="360" w:lineRule="auto"/>
        <w:ind w:firstLine="560" w:firstLineChars="200"/>
        <w:jc w:val="left"/>
        <w:rPr>
          <w:rFonts w:hint="default" w:eastAsia="宋体" w:cs="Times New Roman"/>
          <w:sz w:val="28"/>
          <w:szCs w:val="28"/>
          <w:lang w:val="en-US" w:eastAsia="zh-CN"/>
        </w:rPr>
      </w:pPr>
      <w:r>
        <w:rPr>
          <w:rFonts w:hint="eastAsia" w:eastAsia="宋体" w:cs="Times New Roman"/>
          <w:sz w:val="28"/>
          <w:szCs w:val="28"/>
        </w:rPr>
        <w:t>9.1 质保期： 自验收合格之日起12个月</w:t>
      </w:r>
      <w:r>
        <w:rPr>
          <w:rFonts w:hint="eastAsia" w:cs="Times New Roman"/>
          <w:sz w:val="28"/>
          <w:szCs w:val="28"/>
          <w:lang w:eastAsia="zh-CN"/>
        </w:rPr>
        <w:t>，</w:t>
      </w:r>
      <w:r>
        <w:rPr>
          <w:rFonts w:hint="eastAsia" w:cs="Times New Roman"/>
          <w:sz w:val="28"/>
          <w:szCs w:val="28"/>
          <w:lang w:val="en-US" w:eastAsia="zh-CN"/>
        </w:rPr>
        <w:t>质保金10%。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9.2 在质量保证期内，如果部件或整体发生非异常操作故障，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负责免费更换合格部品。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9.3 在质量保证期内，对于产品本身的质量问题，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承担全部责任。发生故障时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应在4小时内给予电话答复，</w:t>
      </w:r>
      <w:bookmarkStart w:id="10" w:name="_GoBack"/>
      <w:bookmarkEnd w:id="10"/>
      <w:r>
        <w:rPr>
          <w:rFonts w:hint="eastAsia" w:eastAsia="宋体" w:cs="Times New Roman"/>
          <w:sz w:val="28"/>
          <w:szCs w:val="28"/>
        </w:rPr>
        <w:t>48小时内到现场进行处理解决。</w:t>
      </w:r>
    </w:p>
    <w:p>
      <w:pPr>
        <w:spacing w:line="360" w:lineRule="auto"/>
        <w:ind w:firstLine="560" w:firstLineChars="200"/>
        <w:jc w:val="left"/>
        <w:rPr>
          <w:rFonts w:hint="default" w:eastAsia="宋体" w:cs="Times New Roman"/>
          <w:sz w:val="28"/>
          <w:szCs w:val="28"/>
          <w:lang w:val="en-US" w:eastAsia="zh-CN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 xml:space="preserve">9.4 </w:t>
      </w:r>
      <w:r>
        <w:rPr>
          <w:rFonts w:hint="eastAsia" w:cs="Times New Roman"/>
          <w:sz w:val="28"/>
          <w:szCs w:val="28"/>
          <w:lang w:val="en-US" w:eastAsia="zh-CN"/>
        </w:rPr>
        <w:t>吸附转轮C</w:t>
      </w:r>
      <w:r>
        <w:rPr>
          <w:rFonts w:hint="eastAsia" w:eastAsia="宋体" w:cs="Times New Roman"/>
          <w:sz w:val="28"/>
          <w:szCs w:val="28"/>
          <w:lang w:val="en-US" w:eastAsia="zh-CN"/>
        </w:rPr>
        <w:t>使用寿命必须≥</w:t>
      </w:r>
      <w:r>
        <w:rPr>
          <w:rFonts w:hint="eastAsia" w:cs="Times New Roman"/>
          <w:sz w:val="28"/>
          <w:szCs w:val="28"/>
          <w:lang w:val="en-US" w:eastAsia="zh-CN"/>
        </w:rPr>
        <w:t>6</w:t>
      </w:r>
      <w:r>
        <w:rPr>
          <w:rFonts w:hint="eastAsia" w:eastAsia="宋体" w:cs="Times New Roman"/>
          <w:sz w:val="28"/>
          <w:szCs w:val="28"/>
          <w:lang w:val="en-US" w:eastAsia="zh-CN"/>
        </w:rPr>
        <w:t>年，</w:t>
      </w:r>
      <w:r>
        <w:rPr>
          <w:rFonts w:hint="eastAsia" w:cs="Times New Roman"/>
          <w:sz w:val="28"/>
          <w:szCs w:val="28"/>
          <w:lang w:val="en-US" w:eastAsia="zh-CN"/>
        </w:rPr>
        <w:t>6</w:t>
      </w:r>
      <w:r>
        <w:rPr>
          <w:rFonts w:hint="eastAsia" w:eastAsia="宋体" w:cs="Times New Roman"/>
          <w:sz w:val="28"/>
          <w:szCs w:val="28"/>
          <w:lang w:val="en-US" w:eastAsia="zh-CN"/>
        </w:rPr>
        <w:t>年内处理效率≤90%的情况，</w:t>
      </w:r>
      <w:r>
        <w:rPr>
          <w:rFonts w:hint="eastAsia" w:cs="Times New Roman"/>
          <w:sz w:val="28"/>
          <w:szCs w:val="28"/>
          <w:lang w:val="en-US" w:eastAsia="zh-CN"/>
        </w:rPr>
        <w:t>中标人</w:t>
      </w:r>
      <w:r>
        <w:rPr>
          <w:rFonts w:hint="eastAsia" w:eastAsia="宋体" w:cs="Times New Roman"/>
          <w:sz w:val="28"/>
          <w:szCs w:val="28"/>
          <w:lang w:val="en-US" w:eastAsia="zh-CN"/>
        </w:rPr>
        <w:t>负责免费全部更换，确保处理效率达标。</w:t>
      </w:r>
    </w:p>
    <w:p>
      <w:pPr>
        <w:pStyle w:val="17"/>
        <w:numPr>
          <w:ilvl w:val="0"/>
          <w:numId w:val="0"/>
        </w:numPr>
        <w:spacing w:before="120" w:line="360" w:lineRule="auto"/>
        <w:ind w:left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九、竣工资料和文件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项目完工后15天内，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向</w:t>
      </w:r>
      <w:r>
        <w:rPr>
          <w:rFonts w:hint="eastAsia" w:cs="Times New Roman"/>
          <w:sz w:val="28"/>
          <w:szCs w:val="28"/>
          <w:lang w:eastAsia="zh-CN"/>
        </w:rPr>
        <w:t>招标人</w:t>
      </w:r>
      <w:r>
        <w:rPr>
          <w:rFonts w:hint="eastAsia" w:eastAsia="宋体" w:cs="Times New Roman"/>
          <w:sz w:val="28"/>
          <w:szCs w:val="28"/>
        </w:rPr>
        <w:t>提供竣工资料2套，竣工资料正本1份（原件），副本1份；竣工资料必须按照</w:t>
      </w:r>
      <w:r>
        <w:rPr>
          <w:rFonts w:hint="eastAsia" w:cs="Times New Roman"/>
          <w:sz w:val="28"/>
          <w:szCs w:val="28"/>
          <w:lang w:eastAsia="zh-CN"/>
        </w:rPr>
        <w:t>招标人</w:t>
      </w:r>
      <w:r>
        <w:rPr>
          <w:rFonts w:hint="eastAsia" w:eastAsia="宋体" w:cs="Times New Roman"/>
          <w:sz w:val="28"/>
          <w:szCs w:val="28"/>
        </w:rPr>
        <w:t>要求的格式整理，</w:t>
      </w:r>
      <w:r>
        <w:rPr>
          <w:rFonts w:hint="eastAsia" w:cs="Times New Roman"/>
          <w:sz w:val="28"/>
          <w:szCs w:val="28"/>
          <w:lang w:eastAsia="zh-CN"/>
        </w:rPr>
        <w:t>招标人</w:t>
      </w:r>
      <w:r>
        <w:rPr>
          <w:rFonts w:hint="eastAsia" w:eastAsia="宋体" w:cs="Times New Roman"/>
          <w:sz w:val="28"/>
          <w:szCs w:val="28"/>
        </w:rPr>
        <w:t>要求的格式在合同签订时提交给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（竣工资料必须在合同签订后2个月之内提供给</w:t>
      </w:r>
      <w:r>
        <w:rPr>
          <w:rFonts w:hint="eastAsia" w:cs="Times New Roman"/>
          <w:sz w:val="28"/>
          <w:szCs w:val="28"/>
          <w:lang w:eastAsia="zh-CN"/>
        </w:rPr>
        <w:t>招标人</w:t>
      </w:r>
      <w:r>
        <w:rPr>
          <w:rFonts w:hint="eastAsia" w:eastAsia="宋体" w:cs="Times New Roman"/>
          <w:sz w:val="28"/>
          <w:szCs w:val="28"/>
        </w:rPr>
        <w:t>，并由</w:t>
      </w:r>
      <w:r>
        <w:rPr>
          <w:rFonts w:hint="eastAsia" w:cs="Times New Roman"/>
          <w:sz w:val="28"/>
          <w:szCs w:val="28"/>
          <w:lang w:eastAsia="zh-CN"/>
        </w:rPr>
        <w:t>招标人</w:t>
      </w:r>
      <w:r>
        <w:rPr>
          <w:rFonts w:hint="eastAsia" w:eastAsia="宋体" w:cs="Times New Roman"/>
          <w:sz w:val="28"/>
          <w:szCs w:val="28"/>
        </w:rPr>
        <w:t>验收。若不能及时提供竣工资料，延误款项支付，由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负全责）。竣工资料必须包含以下内容：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（1）主要外购件</w:t>
      </w:r>
      <w:r>
        <w:rPr>
          <w:rFonts w:hint="eastAsia" w:eastAsia="宋体" w:cs="Times New Roman"/>
          <w:sz w:val="28"/>
          <w:szCs w:val="28"/>
          <w:lang w:val="en-US" w:eastAsia="zh-CN"/>
        </w:rPr>
        <w:t>购买</w:t>
      </w:r>
      <w:r>
        <w:rPr>
          <w:rFonts w:hint="eastAsia" w:eastAsia="宋体" w:cs="Times New Roman"/>
          <w:sz w:val="28"/>
          <w:szCs w:val="28"/>
        </w:rPr>
        <w:t>证明及合格证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（2）使用说明书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（3）出厂调试报告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（4）现场完工报告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（5）项目完工验收报告</w:t>
      </w:r>
    </w:p>
    <w:p>
      <w:pPr>
        <w:pStyle w:val="17"/>
        <w:numPr>
          <w:ilvl w:val="0"/>
          <w:numId w:val="0"/>
        </w:numPr>
        <w:spacing w:before="120" w:line="360" w:lineRule="auto"/>
        <w:ind w:leftChars="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/>
          <w:lang w:val="en-US" w:eastAsia="zh-CN"/>
        </w:rPr>
        <w:t>十、资质及人员要求</w:t>
      </w:r>
      <w:bookmarkEnd w:id="4"/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1、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资质要求：具</w:t>
      </w:r>
      <w:r>
        <w:rPr>
          <w:rFonts w:hint="eastAsia" w:cs="Times New Roman"/>
          <w:sz w:val="28"/>
          <w:szCs w:val="28"/>
          <w:lang w:val="en-US" w:eastAsia="zh-CN"/>
        </w:rPr>
        <w:t>环保工程专业承包资质二级及以上</w:t>
      </w:r>
      <w:r>
        <w:rPr>
          <w:rFonts w:hint="eastAsia" w:eastAsia="宋体" w:cs="Times New Roman"/>
          <w:sz w:val="28"/>
          <w:szCs w:val="28"/>
        </w:rPr>
        <w:t>资质，具有三个以上</w:t>
      </w:r>
      <w:r>
        <w:rPr>
          <w:rFonts w:hint="eastAsia" w:eastAsia="宋体" w:cs="Times New Roman"/>
          <w:sz w:val="28"/>
          <w:szCs w:val="28"/>
          <w:lang w:val="en-US" w:eastAsia="zh-CN"/>
        </w:rPr>
        <w:t>同类设备安装或者维保维护的</w:t>
      </w:r>
      <w:r>
        <w:rPr>
          <w:rFonts w:hint="eastAsia" w:eastAsia="宋体" w:cs="Times New Roman"/>
          <w:sz w:val="28"/>
          <w:szCs w:val="28"/>
        </w:rPr>
        <w:t>业绩</w:t>
      </w:r>
      <w:r>
        <w:rPr>
          <w:rFonts w:hint="eastAsia" w:cs="Times New Roman"/>
          <w:sz w:val="28"/>
          <w:szCs w:val="28"/>
          <w:lang w:eastAsia="zh-CN"/>
        </w:rPr>
        <w:t>，</w:t>
      </w:r>
      <w:r>
        <w:rPr>
          <w:rFonts w:hint="eastAsia" w:cs="Times New Roman"/>
          <w:sz w:val="28"/>
          <w:szCs w:val="28"/>
          <w:lang w:val="en-US" w:eastAsia="zh-CN"/>
        </w:rPr>
        <w:t>具备完善的环保设备运营和售后服务团队</w:t>
      </w:r>
      <w:r>
        <w:rPr>
          <w:rFonts w:hint="eastAsia" w:eastAsia="宋体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2、服务本项目的技术人员需接受相关培训</w:t>
      </w:r>
      <w:r>
        <w:rPr>
          <w:rFonts w:hint="eastAsia" w:cs="Times New Roman"/>
          <w:sz w:val="28"/>
          <w:szCs w:val="28"/>
          <w:lang w:eastAsia="zh-CN"/>
        </w:rPr>
        <w:t>（</w:t>
      </w:r>
      <w:r>
        <w:rPr>
          <w:rFonts w:hint="eastAsia" w:cs="Times New Roman"/>
          <w:sz w:val="28"/>
          <w:szCs w:val="28"/>
          <w:lang w:val="en-US" w:eastAsia="zh-CN"/>
        </w:rPr>
        <w:t>包含安全</w:t>
      </w:r>
      <w:r>
        <w:rPr>
          <w:rFonts w:hint="eastAsia" w:cs="Times New Roman"/>
          <w:sz w:val="28"/>
          <w:szCs w:val="28"/>
          <w:lang w:eastAsia="zh-CN"/>
        </w:rPr>
        <w:t>）</w:t>
      </w:r>
      <w:r>
        <w:rPr>
          <w:rFonts w:hint="eastAsia" w:eastAsia="宋体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3、在过程中，如发现个别专业人员存在专业素质差、行为不规范等问题的，</w:t>
      </w:r>
      <w:r>
        <w:rPr>
          <w:rFonts w:hint="eastAsia" w:cs="Times New Roman"/>
          <w:sz w:val="28"/>
          <w:szCs w:val="28"/>
          <w:lang w:eastAsia="zh-CN"/>
        </w:rPr>
        <w:t>招标人</w:t>
      </w:r>
      <w:r>
        <w:rPr>
          <w:rFonts w:hint="eastAsia" w:eastAsia="宋体" w:cs="Times New Roman"/>
          <w:sz w:val="28"/>
          <w:szCs w:val="28"/>
        </w:rPr>
        <w:t>有权提出更换或辞退，</w:t>
      </w:r>
      <w:r>
        <w:rPr>
          <w:rFonts w:hint="eastAsia" w:cs="Times New Roman"/>
          <w:sz w:val="28"/>
          <w:szCs w:val="28"/>
          <w:lang w:eastAsia="zh-CN"/>
        </w:rPr>
        <w:t>中标人</w:t>
      </w:r>
      <w:r>
        <w:rPr>
          <w:rFonts w:hint="eastAsia" w:eastAsia="宋体" w:cs="Times New Roman"/>
          <w:sz w:val="28"/>
          <w:szCs w:val="28"/>
        </w:rPr>
        <w:t>应根据</w:t>
      </w:r>
      <w:r>
        <w:rPr>
          <w:rFonts w:hint="eastAsia" w:cs="Times New Roman"/>
          <w:sz w:val="28"/>
          <w:szCs w:val="28"/>
          <w:lang w:eastAsia="zh-CN"/>
        </w:rPr>
        <w:t>招标人</w:t>
      </w:r>
      <w:r>
        <w:rPr>
          <w:rFonts w:hint="eastAsia" w:eastAsia="宋体" w:cs="Times New Roman"/>
          <w:sz w:val="28"/>
          <w:szCs w:val="28"/>
        </w:rPr>
        <w:t>要求予以严肃处理，必要时并更换或辞退。</w:t>
      </w:r>
    </w:p>
    <w:p>
      <w:pPr>
        <w:pStyle w:val="17"/>
        <w:numPr>
          <w:ilvl w:val="0"/>
          <w:numId w:val="0"/>
        </w:numPr>
        <w:spacing w:before="120" w:line="360" w:lineRule="auto"/>
        <w:ind w:leftChars="0"/>
        <w:jc w:val="left"/>
        <w:rPr>
          <w:rFonts w:hint="eastAsia" w:eastAsia="宋体"/>
          <w:lang w:val="en-GB" w:eastAsia="zh-CN"/>
        </w:rPr>
      </w:pPr>
      <w:r>
        <w:rPr>
          <w:rFonts w:hint="eastAsia" w:eastAsia="宋体"/>
          <w:lang w:val="en-US" w:eastAsia="zh-CN"/>
        </w:rPr>
        <w:t>十一、</w:t>
      </w:r>
      <w:r>
        <w:rPr>
          <w:rFonts w:hint="eastAsia" w:eastAsia="宋体"/>
          <w:lang w:val="en-GB" w:eastAsia="zh-CN"/>
        </w:rPr>
        <w:t>保密条款</w:t>
      </w:r>
    </w:p>
    <w:p>
      <w:pPr>
        <w:spacing w:line="360" w:lineRule="auto"/>
        <w:ind w:firstLine="560" w:firstLineChars="200"/>
        <w:jc w:val="left"/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</w:rPr>
        <w:t>供方或供应商严格保守项目技术要求中知晓的需方的任何商业机密，也不得向任何第三者泄漏上述秘密，供方有责任对本文保守秘密，在未正式取得需方书面授权的情况下，不得将本文内容的全部或部分泄漏给第三方（包括机关、企业、组织、集体、个人等第三方），否则供方或供应商应承担因此给需方造成的一切损失。</w:t>
      </w:r>
    </w:p>
    <w:p>
      <w:pPr>
        <w:spacing w:line="360" w:lineRule="auto"/>
        <w:rPr>
          <w:rFonts w:hint="eastAsia"/>
          <w:sz w:val="28"/>
          <w:szCs w:val="28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418" w:header="720" w:footer="720" w:gutter="0"/>
      <w:pgNumType w:start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Mincho">
    <w:altName w:val="Yu Gothic UI"/>
    <w:panose1 w:val="02020600040205080304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ascii="宋体" w:hAnsi="宋体"/>
      </w:rPr>
    </w:pPr>
    <w:r>
      <w:rPr>
        <w:rFonts w:hint="eastAsia" w:ascii="宋体" w:hAnsi="宋体"/>
        <w:szCs w:val="21"/>
      </w:rPr>
      <w:t xml:space="preserve">第 </w:t>
    </w:r>
    <w:r>
      <w:rPr>
        <w:rFonts w:ascii="宋体" w:hAnsi="宋体"/>
        <w:szCs w:val="21"/>
      </w:rPr>
      <w:fldChar w:fldCharType="begin"/>
    </w:r>
    <w:r>
      <w:rPr>
        <w:rFonts w:ascii="宋体" w:hAnsi="宋体"/>
        <w:szCs w:val="21"/>
      </w:rPr>
      <w:instrText xml:space="preserve"> PAGE </w:instrText>
    </w:r>
    <w:r>
      <w:rPr>
        <w:rFonts w:ascii="宋体" w:hAnsi="宋体"/>
        <w:szCs w:val="21"/>
      </w:rPr>
      <w:fldChar w:fldCharType="separate"/>
    </w:r>
    <w:r>
      <w:rPr>
        <w:rFonts w:ascii="宋体" w:hAnsi="宋体"/>
        <w:szCs w:val="21"/>
      </w:rPr>
      <w:t>5</w:t>
    </w:r>
    <w:r>
      <w:rPr>
        <w:rFonts w:ascii="宋体" w:hAnsi="宋体"/>
        <w:szCs w:val="21"/>
      </w:rPr>
      <w:fldChar w:fldCharType="end"/>
    </w:r>
    <w:r>
      <w:rPr>
        <w:rFonts w:hint="eastAsia" w:ascii="宋体" w:hAnsi="宋体"/>
        <w:szCs w:val="21"/>
      </w:rPr>
      <w:t xml:space="preserve"> 页 共 </w:t>
    </w:r>
    <w:r>
      <w:rPr>
        <w:rFonts w:hint="eastAsia" w:ascii="宋体" w:hAnsi="宋体"/>
        <w:szCs w:val="21"/>
        <w:lang w:val="en-US" w:eastAsia="zh-CN"/>
      </w:rPr>
      <w:t>7</w:t>
    </w:r>
    <w:r>
      <w:rPr>
        <w:rFonts w:hint="eastAsia" w:ascii="宋体" w:hAnsi="宋体"/>
        <w:szCs w:val="21"/>
      </w:rPr>
      <w:t>页</w:t>
    </w: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framePr w:wrap="around" w:vAnchor="text" w:hAnchor="margin" w:xAlign="right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end"/>
    </w:r>
  </w:p>
  <w:p>
    <w:pPr>
      <w:pStyle w:val="1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both"/>
      <w:rPr>
        <w:rFonts w:hint="default" w:eastAsia="宋体"/>
        <w:lang w:val="en-US" w:eastAsia="zh-CN"/>
      </w:rPr>
    </w:pPr>
    <w:r>
      <w:rPr>
        <w:sz w:val="18"/>
      </w:rPr>
      <w:pict>
        <v:shape id="PowerPlusWaterMarkObject12227860" o:spid="_x0000_s4123" o:spt="136" type="#_x0000_t136" style="position:absolute;left:0pt;margin-left:458.8pt;margin-top:578pt;height:14pt;width:125pt;mso-position-horizontal-relative:margin;mso-position-vertical-relative:margin;rotation:-2949120f;z-index:-2516316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2094286" o:spid="_x0000_s4124" o:spt="136" type="#_x0000_t136" style="position:absolute;left:0pt;margin-left:349.2pt;margin-top:687.6pt;height:14pt;width:125pt;mso-position-horizontal-relative:margin;mso-position-vertical-relative:margin;rotation:-2949120f;z-index:-25163264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1212007" o:spid="_x0000_s4125" o:spt="136" type="#_x0000_t136" style="position:absolute;left:0pt;margin-left:239.6pt;margin-top:797.2pt;height:14pt;width:125pt;mso-position-horizontal-relative:margin;mso-position-vertical-relative:margin;rotation:-2949120f;z-index:-25163366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0948372" o:spid="_x0000_s4126" o:spt="136" type="#_x0000_t136" style="position:absolute;left:0pt;margin-left:458.8pt;margin-top:372.7pt;height:14pt;width:125pt;mso-position-horizontal-relative:margin;mso-position-vertical-relative:margin;rotation:-2949120f;z-index:-25163468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9960962" o:spid="_x0000_s4127" o:spt="136" type="#_x0000_t136" style="position:absolute;left:0pt;margin-left:349.2pt;margin-top:482.3pt;height:14pt;width:125pt;mso-position-horizontal-relative:margin;mso-position-vertical-relative:margin;rotation:-2949120f;z-index:-25163571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9403919" o:spid="_x0000_s4128" o:spt="136" type="#_x0000_t136" style="position:absolute;left:0pt;margin-left:239.6pt;margin-top:591.9pt;height:14pt;width:125pt;mso-position-horizontal-relative:margin;mso-position-vertical-relative:margin;rotation:-2949120f;z-index:-25163673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9057706" o:spid="_x0000_s4129" o:spt="136" type="#_x0000_t136" style="position:absolute;left:0pt;margin-left:130pt;margin-top:701.5pt;height:14pt;width:125pt;mso-position-horizontal-relative:margin;mso-position-vertical-relative:margin;rotation:-2949120f;z-index:-25163776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8882468" o:spid="_x0000_s4130" o:spt="136" type="#_x0000_t136" style="position:absolute;left:0pt;margin-left:20.4pt;margin-top:811.1pt;height:14pt;width:125pt;mso-position-horizontal-relative:margin;mso-position-vertical-relative:margin;rotation:-2949120f;z-index:-25163878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8424537" o:spid="_x0000_s4131" o:spt="136" type="#_x0000_t136" style="position:absolute;left:0pt;margin-left:458.8pt;margin-top:167.4pt;height:14pt;width:125pt;mso-position-horizontal-relative:margin;mso-position-vertical-relative:margin;rotation:-2949120f;z-index:-25163980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7697746" o:spid="_x0000_s4132" o:spt="136" type="#_x0000_t136" style="position:absolute;left:0pt;margin-left:349.2pt;margin-top:277pt;height:14pt;width:125pt;mso-position-horizontal-relative:margin;mso-position-vertical-relative:margin;rotation:-2949120f;z-index:-25164083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7215756" o:spid="_x0000_s4133" o:spt="136" type="#_x0000_t136" style="position:absolute;left:0pt;margin-left:239.6pt;margin-top:386.6pt;height:14pt;width:125pt;mso-position-horizontal-relative:margin;mso-position-vertical-relative:margin;rotation:-2949120f;z-index:-25164185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6644510" o:spid="_x0000_s4134" o:spt="136" type="#_x0000_t136" style="position:absolute;left:0pt;margin-left:130pt;margin-top:496.2pt;height:14pt;width:125pt;mso-position-horizontal-relative:margin;mso-position-vertical-relative:margin;rotation:-2949120f;z-index:-25164288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6059345" o:spid="_x0000_s4135" o:spt="136" type="#_x0000_t136" style="position:absolute;left:0pt;margin-left:20.4pt;margin-top:605.8pt;height:14pt;width:125pt;mso-position-horizontal-relative:margin;mso-position-vertical-relative:margin;rotation:-2949120f;z-index:-25164390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5841887" o:spid="_x0000_s4136" o:spt="136" type="#_x0000_t136" style="position:absolute;left:0pt;margin-left:-89.2pt;margin-top:715.4pt;height:14pt;width:125pt;mso-position-horizontal-relative:margin;mso-position-vertical-relative:margin;rotation:-2949120f;z-index:-25164492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5085817" o:spid="_x0000_s4137" o:spt="136" type="#_x0000_t136" style="position:absolute;left:0pt;margin-left:458.8pt;margin-top:-37.95pt;height:14pt;width:125pt;mso-position-horizontal-relative:margin;mso-position-vertical-relative:margin;rotation:-2949120f;z-index:-25164595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4819890" o:spid="_x0000_s4138" o:spt="136" type="#_x0000_t136" style="position:absolute;left:0pt;margin-left:349.2pt;margin-top:71.65pt;height:14pt;width:125pt;mso-position-horizontal-relative:margin;mso-position-vertical-relative:margin;rotation:-2949120f;z-index:-25164697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4169198" o:spid="_x0000_s4139" o:spt="136" type="#_x0000_t136" style="position:absolute;left:0pt;margin-left:239.6pt;margin-top:181.25pt;height:14pt;width:125pt;mso-position-horizontal-relative:margin;mso-position-vertical-relative:margin;rotation:-2949120f;z-index:-25164800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3972384" o:spid="_x0000_s4140" o:spt="136" type="#_x0000_t136" style="position:absolute;left:0pt;margin-left:130pt;margin-top:290.85pt;height:14pt;width:125pt;mso-position-horizontal-relative:margin;mso-position-vertical-relative:margin;rotation:-2949120f;z-index:-25164902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3327510" o:spid="_x0000_s4141" o:spt="136" type="#_x0000_t136" style="position:absolute;left:0pt;margin-left:20.4pt;margin-top:400.45pt;height:14pt;width:125pt;mso-position-horizontal-relative:margin;mso-position-vertical-relative:margin;rotation:-2949120f;z-index:-25165004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379824" o:spid="_x0000_s4142" o:spt="136" type="#_x0000_t136" style="position:absolute;left:0pt;margin-left:-89.2pt;margin-top:510.05pt;height:14pt;width:125pt;mso-position-horizontal-relative:margin;mso-position-vertical-relative:margin;rotation:-2949120f;z-index:-25165107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931536" o:spid="_x0000_s4143" o:spt="136" type="#_x0000_t136" style="position:absolute;left:0pt;margin-left:239.6pt;margin-top:-24.05pt;height:14pt;width:125pt;mso-position-horizontal-relative:margin;mso-position-vertical-relative:margin;rotation:-2949120f;z-index:-25165209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536955" o:spid="_x0000_s4144" o:spt="136" type="#_x0000_t136" style="position:absolute;left:0pt;margin-left:130pt;margin-top:85.55pt;height:14pt;width:125pt;mso-position-horizontal-relative:margin;mso-position-vertical-relative:margin;rotation:-2949120f;z-index:-25165312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328710" o:spid="_x0000_s4145" o:spt="136" type="#_x0000_t136" style="position:absolute;left:0pt;margin-left:20.4pt;margin-top:195.15pt;height:14pt;width:125pt;mso-position-horizontal-relative:margin;mso-position-vertical-relative:margin;rotation:-2949120f;z-index:-25165414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097525" o:spid="_x0000_s4146" o:spt="136" type="#_x0000_t136" style="position:absolute;left:0pt;margin-left:-89.2pt;margin-top:304.75pt;height:14pt;width:125pt;mso-position-horizontal-relative:margin;mso-position-vertical-relative:margin;rotation:-2949120f;z-index:-25165516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87753" o:spid="_x0000_s4147" o:spt="136" type="#_x0000_t136" style="position:absolute;left:0pt;margin-left:20.4pt;margin-top:-10.15pt;height:14pt;width:125pt;mso-position-horizontal-relative:margin;mso-position-vertical-relative:margin;rotation:-2949120f;z-index:-25165619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1799" o:spid="_x0000_s4148" o:spt="136" type="#_x0000_t136" style="position:absolute;left:0pt;margin-left:-89.2pt;margin-top:99.45pt;height:14pt;width:125pt;mso-position-horizontal-relative:margin;mso-position-vertical-relative:margin;rotation:-2949120f;z-index:-2516572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drawing>
        <wp:inline distT="0" distB="0" distL="114300" distR="114300">
          <wp:extent cx="1887855" cy="337820"/>
          <wp:effectExtent l="0" t="0" r="0" b="0"/>
          <wp:docPr id="2" name="图片 2" descr="张着嘴&#10;&#10;低可信度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张着嘴&#10;&#10;低可信度描述已自动生成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87855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VOC设备系统更换沸石转轮及高温阀维修项目</w:t>
    </w:r>
    <w:r>
      <w:rPr>
        <w:rFonts w:hint="eastAsia"/>
        <w:lang w:val="en-US" w:eastAsia="zh-CN"/>
      </w:rPr>
      <w:t>技术要求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both"/>
    </w:pPr>
    <w:r>
      <w:rPr>
        <w:sz w:val="18"/>
      </w:rPr>
      <w:pict>
        <v:shape id="PowerPlusWaterMarkObject24101838" o:spid="_x0000_s4097" o:spt="136" type="#_x0000_t136" style="position:absolute;left:0pt;margin-left:458.8pt;margin-top:578pt;height:14pt;width:125pt;mso-position-horizontal-relative:margin;mso-position-vertical-relative:margin;rotation:-2949120f;z-index:-25160499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4031200" o:spid="_x0000_s4098" o:spt="136" type="#_x0000_t136" style="position:absolute;left:0pt;margin-left:349.2pt;margin-top:687.6pt;height:14pt;width:125pt;mso-position-horizontal-relative:margin;mso-position-vertical-relative:margin;rotation:-2949120f;z-index:-25160601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3361275" o:spid="_x0000_s4099" o:spt="136" type="#_x0000_t136" style="position:absolute;left:0pt;margin-left:239.6pt;margin-top:797.2pt;height:14pt;width:125pt;mso-position-horizontal-relative:margin;mso-position-vertical-relative:margin;rotation:-2949120f;z-index:-25160704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3037553" o:spid="_x0000_s4100" o:spt="136" type="#_x0000_t136" style="position:absolute;left:0pt;margin-left:458.8pt;margin-top:372.7pt;height:14pt;width:125pt;mso-position-horizontal-relative:margin;mso-position-vertical-relative:margin;rotation:-2949120f;z-index:-25160806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2598587" o:spid="_x0000_s4101" o:spt="136" type="#_x0000_t136" style="position:absolute;left:0pt;margin-left:349.2pt;margin-top:482.3pt;height:14pt;width:125pt;mso-position-horizontal-relative:margin;mso-position-vertical-relative:margin;rotation:-2949120f;z-index:-25160908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1990157" o:spid="_x0000_s4102" o:spt="136" type="#_x0000_t136" style="position:absolute;left:0pt;margin-left:239.6pt;margin-top:591.9pt;height:14pt;width:125pt;mso-position-horizontal-relative:margin;mso-position-vertical-relative:margin;rotation:-2949120f;z-index:-25161011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1836635" o:spid="_x0000_s4103" o:spt="136" type="#_x0000_t136" style="position:absolute;left:0pt;margin-left:130pt;margin-top:701.5pt;height:14pt;width:125pt;mso-position-horizontal-relative:margin;mso-position-vertical-relative:margin;rotation:-2949120f;z-index:-25161113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1617530" o:spid="_x0000_s4104" o:spt="136" type="#_x0000_t136" style="position:absolute;left:0pt;margin-left:20.4pt;margin-top:811.1pt;height:14pt;width:125pt;mso-position-horizontal-relative:margin;mso-position-vertical-relative:margin;rotation:-2949120f;z-index:-25161216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0701188" o:spid="_x0000_s4105" o:spt="136" type="#_x0000_t136" style="position:absolute;left:0pt;margin-left:458.8pt;margin-top:167.4pt;height:14pt;width:125pt;mso-position-horizontal-relative:margin;mso-position-vertical-relative:margin;rotation:-2949120f;z-index:-25161318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0182555" o:spid="_x0000_s4106" o:spt="136" type="#_x0000_t136" style="position:absolute;left:0pt;margin-left:349.2pt;margin-top:277pt;height:14pt;width:125pt;mso-position-horizontal-relative:margin;mso-position-vertical-relative:margin;rotation:-2949120f;z-index:-25161420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20148725" o:spid="_x0000_s4107" o:spt="136" type="#_x0000_t136" style="position:absolute;left:0pt;margin-left:239.6pt;margin-top:386.6pt;height:14pt;width:125pt;mso-position-horizontal-relative:margin;mso-position-vertical-relative:margin;rotation:-2949120f;z-index:-25161523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9193648" o:spid="_x0000_s4108" o:spt="136" type="#_x0000_t136" style="position:absolute;left:0pt;margin-left:130pt;margin-top:496.2pt;height:14pt;width:125pt;mso-position-horizontal-relative:margin;mso-position-vertical-relative:margin;rotation:-2949120f;z-index:-25161625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8399109" o:spid="_x0000_s4109" o:spt="136" type="#_x0000_t136" style="position:absolute;left:0pt;margin-left:20.4pt;margin-top:605.8pt;height:14pt;width:125pt;mso-position-horizontal-relative:margin;mso-position-vertical-relative:margin;rotation:-2949120f;z-index:-25161728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7821397" o:spid="_x0000_s4110" o:spt="136" type="#_x0000_t136" style="position:absolute;left:0pt;margin-left:-89.2pt;margin-top:715.4pt;height:14pt;width:125pt;mso-position-horizontal-relative:margin;mso-position-vertical-relative:margin;rotation:-2949120f;z-index:-25161830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7635291" o:spid="_x0000_s4111" o:spt="136" type="#_x0000_t136" style="position:absolute;left:0pt;margin-left:458.8pt;margin-top:-37.95pt;height:14pt;width:125pt;mso-position-horizontal-relative:margin;mso-position-vertical-relative:margin;rotation:-2949120f;z-index:-25161932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6864815" o:spid="_x0000_s4112" o:spt="136" type="#_x0000_t136" style="position:absolute;left:0pt;margin-left:349.2pt;margin-top:71.65pt;height:14pt;width:125pt;mso-position-horizontal-relative:margin;mso-position-vertical-relative:margin;rotation:-2949120f;z-index:-25162035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6149392" o:spid="_x0000_s4113" o:spt="136" type="#_x0000_t136" style="position:absolute;left:0pt;margin-left:239.6pt;margin-top:181.25pt;height:14pt;width:125pt;mso-position-horizontal-relative:margin;mso-position-vertical-relative:margin;rotation:-2949120f;z-index:-25162137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5603807" o:spid="_x0000_s4114" o:spt="136" type="#_x0000_t136" style="position:absolute;left:0pt;margin-left:130pt;margin-top:290.85pt;height:14pt;width:125pt;mso-position-horizontal-relative:margin;mso-position-vertical-relative:margin;rotation:-2949120f;z-index:-25162240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5416479" o:spid="_x0000_s4115" o:spt="136" type="#_x0000_t136" style="position:absolute;left:0pt;margin-left:20.4pt;margin-top:400.45pt;height:14pt;width:125pt;mso-position-horizontal-relative:margin;mso-position-vertical-relative:margin;rotation:-2949120f;z-index:-25162342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5218402" o:spid="_x0000_s4116" o:spt="136" type="#_x0000_t136" style="position:absolute;left:0pt;margin-left:-89.2pt;margin-top:510.05pt;height:14pt;width:125pt;mso-position-horizontal-relative:margin;mso-position-vertical-relative:margin;rotation:-2949120f;z-index:-25162444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4692263" o:spid="_x0000_s4117" o:spt="136" type="#_x0000_t136" style="position:absolute;left:0pt;margin-left:239.6pt;margin-top:-24.05pt;height:14pt;width:125pt;mso-position-horizontal-relative:margin;mso-position-vertical-relative:margin;rotation:-2949120f;z-index:-25162547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4253756" o:spid="_x0000_s4118" o:spt="136" type="#_x0000_t136" style="position:absolute;left:0pt;margin-left:130pt;margin-top:85.55pt;height:14pt;width:125pt;mso-position-horizontal-relative:margin;mso-position-vertical-relative:margin;rotation:-2949120f;z-index:-251626496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3389509" o:spid="_x0000_s4119" o:spt="136" type="#_x0000_t136" style="position:absolute;left:0pt;margin-left:20.4pt;margin-top:195.15pt;height:14pt;width:125pt;mso-position-horizontal-relative:margin;mso-position-vertical-relative:margin;rotation:-2949120f;z-index:-251627520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3010131" o:spid="_x0000_s4120" o:spt="136" type="#_x0000_t136" style="position:absolute;left:0pt;margin-left:-89.2pt;margin-top:304.75pt;height:14pt;width:125pt;mso-position-horizontal-relative:margin;mso-position-vertical-relative:margin;rotation:-2949120f;z-index:-251628544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2882120" o:spid="_x0000_s4121" o:spt="136" type="#_x0000_t136" style="position:absolute;left:0pt;margin-left:20.4pt;margin-top:-10.15pt;height:14pt;width:125pt;mso-position-horizontal-relative:margin;mso-position-vertical-relative:margin;rotation:-2949120f;z-index:-251629568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rPr>
        <w:sz w:val="18"/>
      </w:rPr>
      <w:pict>
        <v:shape id="PowerPlusWaterMarkObject12282916" o:spid="_x0000_s4122" o:spt="136" type="#_x0000_t136" style="position:absolute;left:0pt;margin-left:-89.2pt;margin-top:99.45pt;height:14pt;width:125pt;mso-position-horizontal-relative:margin;mso-position-vertical-relative:margin;rotation:-2949120f;z-index:-251630592;mso-width-relative:page;mso-height-relative:page;" fillcolor="#CCCCCC" filled="t" stroked="f" coordsize="21600,21600" adj="10800">
          <v:path/>
          <v:fill on="t" opacity="26214f" focussize="0,0"/>
          <v:stroke on="f"/>
          <v:imagedata o:title=""/>
          <o:lock v:ext="edit" aspectratio="t"/>
          <v:textpath on="t" fitshape="t" fitpath="t" trim="t" xscale="f" string="钟进2903942026-01-26" style="font-family:汉仪旗黑KW 55S;font-size:14pt;v-same-letter-heights:f;v-text-align:center;"/>
        </v:shape>
      </w:pict>
    </w:r>
    <w:r>
      <w:drawing>
        <wp:inline distT="0" distB="0" distL="114300" distR="114300">
          <wp:extent cx="1887855" cy="337820"/>
          <wp:effectExtent l="0" t="0" r="0" b="0"/>
          <wp:docPr id="1" name="图片 1" descr="张着嘴&#10;&#10;低可信度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张着嘴&#10;&#10;低可信度描述已自动生成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87855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rFonts w:hint="eastAsia"/>
        <w:lang w:eastAsia="zh-CN"/>
      </w:rPr>
      <w:t>VOC设备系统更换沸石转轮及高温阀维修项目</w:t>
    </w:r>
    <w:r>
      <w:rPr>
        <w:rFonts w:hint="eastAsia"/>
      </w:rPr>
      <w:t>技术要求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029482"/>
    <w:multiLevelType w:val="singleLevel"/>
    <w:tmpl w:val="EC02948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B5F"/>
    <w:rsid w:val="00001C31"/>
    <w:rsid w:val="0000456A"/>
    <w:rsid w:val="000127EC"/>
    <w:rsid w:val="0001290F"/>
    <w:rsid w:val="000140DE"/>
    <w:rsid w:val="00014823"/>
    <w:rsid w:val="00021445"/>
    <w:rsid w:val="00022220"/>
    <w:rsid w:val="00022D64"/>
    <w:rsid w:val="00023471"/>
    <w:rsid w:val="000273A4"/>
    <w:rsid w:val="00030171"/>
    <w:rsid w:val="00030EDD"/>
    <w:rsid w:val="00031477"/>
    <w:rsid w:val="00031B85"/>
    <w:rsid w:val="00037A2E"/>
    <w:rsid w:val="00050306"/>
    <w:rsid w:val="00051E38"/>
    <w:rsid w:val="000532F1"/>
    <w:rsid w:val="000554D5"/>
    <w:rsid w:val="000569E5"/>
    <w:rsid w:val="000577B2"/>
    <w:rsid w:val="00060F63"/>
    <w:rsid w:val="000665D9"/>
    <w:rsid w:val="000730CC"/>
    <w:rsid w:val="0007544B"/>
    <w:rsid w:val="0008089F"/>
    <w:rsid w:val="0008251A"/>
    <w:rsid w:val="00086DDE"/>
    <w:rsid w:val="00086EC5"/>
    <w:rsid w:val="000902D3"/>
    <w:rsid w:val="00097488"/>
    <w:rsid w:val="000A0C90"/>
    <w:rsid w:val="000A2C60"/>
    <w:rsid w:val="000A2D44"/>
    <w:rsid w:val="000A32C3"/>
    <w:rsid w:val="000A57DB"/>
    <w:rsid w:val="000B0A04"/>
    <w:rsid w:val="000B5514"/>
    <w:rsid w:val="000B6F7F"/>
    <w:rsid w:val="000D0703"/>
    <w:rsid w:val="000D2362"/>
    <w:rsid w:val="000D2C60"/>
    <w:rsid w:val="000E1609"/>
    <w:rsid w:val="000F504D"/>
    <w:rsid w:val="000F621D"/>
    <w:rsid w:val="000F68B9"/>
    <w:rsid w:val="00103CE0"/>
    <w:rsid w:val="00107323"/>
    <w:rsid w:val="001110DC"/>
    <w:rsid w:val="00111143"/>
    <w:rsid w:val="00111914"/>
    <w:rsid w:val="001137D8"/>
    <w:rsid w:val="001146D1"/>
    <w:rsid w:val="00114F22"/>
    <w:rsid w:val="0012463D"/>
    <w:rsid w:val="00126F04"/>
    <w:rsid w:val="0012796A"/>
    <w:rsid w:val="00127C9A"/>
    <w:rsid w:val="00131955"/>
    <w:rsid w:val="00131BF5"/>
    <w:rsid w:val="001424F4"/>
    <w:rsid w:val="001432EE"/>
    <w:rsid w:val="0014339E"/>
    <w:rsid w:val="00161318"/>
    <w:rsid w:val="00165F51"/>
    <w:rsid w:val="00170F3E"/>
    <w:rsid w:val="00172C62"/>
    <w:rsid w:val="001750A8"/>
    <w:rsid w:val="00175E00"/>
    <w:rsid w:val="0017639A"/>
    <w:rsid w:val="0017659C"/>
    <w:rsid w:val="00176A1D"/>
    <w:rsid w:val="00177ADD"/>
    <w:rsid w:val="00181771"/>
    <w:rsid w:val="00181842"/>
    <w:rsid w:val="00182B1A"/>
    <w:rsid w:val="00186F4C"/>
    <w:rsid w:val="00187F27"/>
    <w:rsid w:val="001908B4"/>
    <w:rsid w:val="0019424E"/>
    <w:rsid w:val="001A0DAE"/>
    <w:rsid w:val="001B297F"/>
    <w:rsid w:val="001C0F79"/>
    <w:rsid w:val="001C1A06"/>
    <w:rsid w:val="001C262D"/>
    <w:rsid w:val="001D1D9B"/>
    <w:rsid w:val="001D4A83"/>
    <w:rsid w:val="001E3858"/>
    <w:rsid w:val="001E3DA2"/>
    <w:rsid w:val="001E3E63"/>
    <w:rsid w:val="001E403A"/>
    <w:rsid w:val="001F21F7"/>
    <w:rsid w:val="001F4577"/>
    <w:rsid w:val="001F70EF"/>
    <w:rsid w:val="00202CE4"/>
    <w:rsid w:val="0020308D"/>
    <w:rsid w:val="002060EE"/>
    <w:rsid w:val="00210737"/>
    <w:rsid w:val="002145F4"/>
    <w:rsid w:val="0022304E"/>
    <w:rsid w:val="00223545"/>
    <w:rsid w:val="00224A3A"/>
    <w:rsid w:val="00231008"/>
    <w:rsid w:val="00241A50"/>
    <w:rsid w:val="002470E0"/>
    <w:rsid w:val="00247A98"/>
    <w:rsid w:val="00252103"/>
    <w:rsid w:val="002541CA"/>
    <w:rsid w:val="00255045"/>
    <w:rsid w:val="002608FB"/>
    <w:rsid w:val="00263A03"/>
    <w:rsid w:val="00273866"/>
    <w:rsid w:val="00273CEE"/>
    <w:rsid w:val="00275A52"/>
    <w:rsid w:val="00280E7B"/>
    <w:rsid w:val="00292C52"/>
    <w:rsid w:val="0029358C"/>
    <w:rsid w:val="00294DB5"/>
    <w:rsid w:val="0029654A"/>
    <w:rsid w:val="002A42D8"/>
    <w:rsid w:val="002A7A9F"/>
    <w:rsid w:val="002A7E57"/>
    <w:rsid w:val="002B257B"/>
    <w:rsid w:val="002B5194"/>
    <w:rsid w:val="002C06A9"/>
    <w:rsid w:val="002C190E"/>
    <w:rsid w:val="002C5D78"/>
    <w:rsid w:val="002C6020"/>
    <w:rsid w:val="002D17BE"/>
    <w:rsid w:val="002D3097"/>
    <w:rsid w:val="002D3F72"/>
    <w:rsid w:val="002E43FC"/>
    <w:rsid w:val="002E7FA9"/>
    <w:rsid w:val="002F5AC3"/>
    <w:rsid w:val="00301BC0"/>
    <w:rsid w:val="0030306B"/>
    <w:rsid w:val="00304F79"/>
    <w:rsid w:val="00311AA8"/>
    <w:rsid w:val="0031261E"/>
    <w:rsid w:val="003200D7"/>
    <w:rsid w:val="00320BBC"/>
    <w:rsid w:val="00321CD0"/>
    <w:rsid w:val="003248BD"/>
    <w:rsid w:val="00326E32"/>
    <w:rsid w:val="00330FF3"/>
    <w:rsid w:val="00333B9B"/>
    <w:rsid w:val="0033626D"/>
    <w:rsid w:val="00346C5E"/>
    <w:rsid w:val="00351429"/>
    <w:rsid w:val="003574BA"/>
    <w:rsid w:val="0036242B"/>
    <w:rsid w:val="003632F1"/>
    <w:rsid w:val="0036465E"/>
    <w:rsid w:val="0037002D"/>
    <w:rsid w:val="00384C7F"/>
    <w:rsid w:val="00386B8F"/>
    <w:rsid w:val="00390AA7"/>
    <w:rsid w:val="003921A3"/>
    <w:rsid w:val="0039339B"/>
    <w:rsid w:val="00397888"/>
    <w:rsid w:val="003A5CAF"/>
    <w:rsid w:val="003B08E0"/>
    <w:rsid w:val="003B15F4"/>
    <w:rsid w:val="003B1D8F"/>
    <w:rsid w:val="003B397A"/>
    <w:rsid w:val="003B4740"/>
    <w:rsid w:val="003B4B9C"/>
    <w:rsid w:val="003C094B"/>
    <w:rsid w:val="003C1DD2"/>
    <w:rsid w:val="003C2E48"/>
    <w:rsid w:val="003C3FFB"/>
    <w:rsid w:val="003C4CBA"/>
    <w:rsid w:val="003C586C"/>
    <w:rsid w:val="003D0471"/>
    <w:rsid w:val="003D31C2"/>
    <w:rsid w:val="003D3508"/>
    <w:rsid w:val="003D4FB6"/>
    <w:rsid w:val="003E30E3"/>
    <w:rsid w:val="003E610F"/>
    <w:rsid w:val="003F3C31"/>
    <w:rsid w:val="003F47ED"/>
    <w:rsid w:val="00401134"/>
    <w:rsid w:val="004024E5"/>
    <w:rsid w:val="0040397F"/>
    <w:rsid w:val="0042000A"/>
    <w:rsid w:val="0042699B"/>
    <w:rsid w:val="004275C6"/>
    <w:rsid w:val="00440191"/>
    <w:rsid w:val="00441E2B"/>
    <w:rsid w:val="00444376"/>
    <w:rsid w:val="00444DBC"/>
    <w:rsid w:val="00446010"/>
    <w:rsid w:val="004502FC"/>
    <w:rsid w:val="004522E8"/>
    <w:rsid w:val="004530EE"/>
    <w:rsid w:val="00455BE1"/>
    <w:rsid w:val="004570B1"/>
    <w:rsid w:val="004630AF"/>
    <w:rsid w:val="004638E4"/>
    <w:rsid w:val="00466989"/>
    <w:rsid w:val="004732AA"/>
    <w:rsid w:val="00480878"/>
    <w:rsid w:val="00481870"/>
    <w:rsid w:val="00483227"/>
    <w:rsid w:val="00486131"/>
    <w:rsid w:val="0048669C"/>
    <w:rsid w:val="004918EE"/>
    <w:rsid w:val="0049436E"/>
    <w:rsid w:val="004A0E13"/>
    <w:rsid w:val="004A2BDD"/>
    <w:rsid w:val="004A4B25"/>
    <w:rsid w:val="004A579E"/>
    <w:rsid w:val="004A62DB"/>
    <w:rsid w:val="004A64E5"/>
    <w:rsid w:val="004A6689"/>
    <w:rsid w:val="004B1E1B"/>
    <w:rsid w:val="004B21DD"/>
    <w:rsid w:val="004C077B"/>
    <w:rsid w:val="004C3B49"/>
    <w:rsid w:val="004C7F05"/>
    <w:rsid w:val="004D3D08"/>
    <w:rsid w:val="004D7826"/>
    <w:rsid w:val="004E1F90"/>
    <w:rsid w:val="004E20D4"/>
    <w:rsid w:val="004E3420"/>
    <w:rsid w:val="004E4C7C"/>
    <w:rsid w:val="004E7D84"/>
    <w:rsid w:val="00502D92"/>
    <w:rsid w:val="00503A26"/>
    <w:rsid w:val="0050776E"/>
    <w:rsid w:val="00507D02"/>
    <w:rsid w:val="00513095"/>
    <w:rsid w:val="00513285"/>
    <w:rsid w:val="005161CC"/>
    <w:rsid w:val="005205EF"/>
    <w:rsid w:val="005209AB"/>
    <w:rsid w:val="0052139C"/>
    <w:rsid w:val="0052303D"/>
    <w:rsid w:val="00523A8F"/>
    <w:rsid w:val="005272E8"/>
    <w:rsid w:val="0053107F"/>
    <w:rsid w:val="005345FC"/>
    <w:rsid w:val="005349FE"/>
    <w:rsid w:val="00535550"/>
    <w:rsid w:val="0053577B"/>
    <w:rsid w:val="00535BD9"/>
    <w:rsid w:val="00543046"/>
    <w:rsid w:val="005448D5"/>
    <w:rsid w:val="00544F68"/>
    <w:rsid w:val="00550621"/>
    <w:rsid w:val="00551498"/>
    <w:rsid w:val="00552818"/>
    <w:rsid w:val="00554724"/>
    <w:rsid w:val="00555225"/>
    <w:rsid w:val="00565375"/>
    <w:rsid w:val="00567BE2"/>
    <w:rsid w:val="00570935"/>
    <w:rsid w:val="005823A5"/>
    <w:rsid w:val="005858E3"/>
    <w:rsid w:val="00587A15"/>
    <w:rsid w:val="00594D14"/>
    <w:rsid w:val="00596720"/>
    <w:rsid w:val="005A327A"/>
    <w:rsid w:val="005A5EFD"/>
    <w:rsid w:val="005B0D6A"/>
    <w:rsid w:val="005B291F"/>
    <w:rsid w:val="005C2584"/>
    <w:rsid w:val="005C2B3E"/>
    <w:rsid w:val="005C3B7D"/>
    <w:rsid w:val="005C6E9E"/>
    <w:rsid w:val="005D5D05"/>
    <w:rsid w:val="005D799F"/>
    <w:rsid w:val="005E13F6"/>
    <w:rsid w:val="005E31EA"/>
    <w:rsid w:val="005E66FE"/>
    <w:rsid w:val="005F6376"/>
    <w:rsid w:val="00602CEC"/>
    <w:rsid w:val="006036BA"/>
    <w:rsid w:val="00604601"/>
    <w:rsid w:val="00604907"/>
    <w:rsid w:val="00604E34"/>
    <w:rsid w:val="00605A18"/>
    <w:rsid w:val="00606B07"/>
    <w:rsid w:val="00607874"/>
    <w:rsid w:val="006139D2"/>
    <w:rsid w:val="0061504A"/>
    <w:rsid w:val="00615F3C"/>
    <w:rsid w:val="00616B87"/>
    <w:rsid w:val="00616BD2"/>
    <w:rsid w:val="0062331B"/>
    <w:rsid w:val="00624D27"/>
    <w:rsid w:val="00625FD4"/>
    <w:rsid w:val="006309F8"/>
    <w:rsid w:val="00631EF1"/>
    <w:rsid w:val="006344D0"/>
    <w:rsid w:val="006357C5"/>
    <w:rsid w:val="00641128"/>
    <w:rsid w:val="00642D5E"/>
    <w:rsid w:val="006451C2"/>
    <w:rsid w:val="00652FF7"/>
    <w:rsid w:val="00653E3C"/>
    <w:rsid w:val="00655D54"/>
    <w:rsid w:val="00666F44"/>
    <w:rsid w:val="00673B45"/>
    <w:rsid w:val="00680AB7"/>
    <w:rsid w:val="00683D33"/>
    <w:rsid w:val="006850E2"/>
    <w:rsid w:val="00691CFD"/>
    <w:rsid w:val="00693548"/>
    <w:rsid w:val="006943AD"/>
    <w:rsid w:val="006A0943"/>
    <w:rsid w:val="006A19A1"/>
    <w:rsid w:val="006A1C83"/>
    <w:rsid w:val="006A5EF9"/>
    <w:rsid w:val="006A66BC"/>
    <w:rsid w:val="006B2987"/>
    <w:rsid w:val="006B3B96"/>
    <w:rsid w:val="006C2735"/>
    <w:rsid w:val="006C4904"/>
    <w:rsid w:val="006D05F7"/>
    <w:rsid w:val="006E4C0A"/>
    <w:rsid w:val="006E7A8B"/>
    <w:rsid w:val="006F0402"/>
    <w:rsid w:val="006F3FF3"/>
    <w:rsid w:val="006F5C2F"/>
    <w:rsid w:val="007011DF"/>
    <w:rsid w:val="0070211E"/>
    <w:rsid w:val="0070423D"/>
    <w:rsid w:val="0070464F"/>
    <w:rsid w:val="007164C6"/>
    <w:rsid w:val="00717B34"/>
    <w:rsid w:val="00722BAF"/>
    <w:rsid w:val="00727AF3"/>
    <w:rsid w:val="00727F4E"/>
    <w:rsid w:val="00732E51"/>
    <w:rsid w:val="0073324C"/>
    <w:rsid w:val="0073578C"/>
    <w:rsid w:val="00737540"/>
    <w:rsid w:val="00747BD3"/>
    <w:rsid w:val="00753CE3"/>
    <w:rsid w:val="00761328"/>
    <w:rsid w:val="00762E4A"/>
    <w:rsid w:val="007671E2"/>
    <w:rsid w:val="007700F4"/>
    <w:rsid w:val="00775F58"/>
    <w:rsid w:val="00780EB7"/>
    <w:rsid w:val="00781409"/>
    <w:rsid w:val="00785833"/>
    <w:rsid w:val="007903DF"/>
    <w:rsid w:val="007917DA"/>
    <w:rsid w:val="007937A6"/>
    <w:rsid w:val="00793C77"/>
    <w:rsid w:val="00794EEE"/>
    <w:rsid w:val="007A0F5A"/>
    <w:rsid w:val="007A53CB"/>
    <w:rsid w:val="007A6AB4"/>
    <w:rsid w:val="007B1A4D"/>
    <w:rsid w:val="007B3D97"/>
    <w:rsid w:val="007B60DE"/>
    <w:rsid w:val="007C08EE"/>
    <w:rsid w:val="007C135A"/>
    <w:rsid w:val="007C4308"/>
    <w:rsid w:val="007D2B50"/>
    <w:rsid w:val="007D65C2"/>
    <w:rsid w:val="007E270F"/>
    <w:rsid w:val="007E5EC2"/>
    <w:rsid w:val="007E6885"/>
    <w:rsid w:val="007F121A"/>
    <w:rsid w:val="007F5CE3"/>
    <w:rsid w:val="008004A1"/>
    <w:rsid w:val="008026BF"/>
    <w:rsid w:val="00806A2C"/>
    <w:rsid w:val="0081020C"/>
    <w:rsid w:val="00812B5C"/>
    <w:rsid w:val="0081516E"/>
    <w:rsid w:val="00816C2B"/>
    <w:rsid w:val="00817336"/>
    <w:rsid w:val="008173A1"/>
    <w:rsid w:val="008213B8"/>
    <w:rsid w:val="00822A66"/>
    <w:rsid w:val="00823BDA"/>
    <w:rsid w:val="0082593C"/>
    <w:rsid w:val="00826EC3"/>
    <w:rsid w:val="00827FA3"/>
    <w:rsid w:val="008305A5"/>
    <w:rsid w:val="008344A5"/>
    <w:rsid w:val="008405A1"/>
    <w:rsid w:val="008471A9"/>
    <w:rsid w:val="00852D0A"/>
    <w:rsid w:val="00855387"/>
    <w:rsid w:val="00862964"/>
    <w:rsid w:val="00863A0D"/>
    <w:rsid w:val="00864DFA"/>
    <w:rsid w:val="00866F84"/>
    <w:rsid w:val="00870637"/>
    <w:rsid w:val="008714EA"/>
    <w:rsid w:val="008723AC"/>
    <w:rsid w:val="00874A4B"/>
    <w:rsid w:val="00876131"/>
    <w:rsid w:val="008818F8"/>
    <w:rsid w:val="00882670"/>
    <w:rsid w:val="00894D8C"/>
    <w:rsid w:val="0089520B"/>
    <w:rsid w:val="00895505"/>
    <w:rsid w:val="0089786F"/>
    <w:rsid w:val="008A1461"/>
    <w:rsid w:val="008A21A4"/>
    <w:rsid w:val="008A25F7"/>
    <w:rsid w:val="008A3B2D"/>
    <w:rsid w:val="008A5DD2"/>
    <w:rsid w:val="008A77D6"/>
    <w:rsid w:val="008A79D4"/>
    <w:rsid w:val="008A7D13"/>
    <w:rsid w:val="008B5F5C"/>
    <w:rsid w:val="008C3BB3"/>
    <w:rsid w:val="008C406E"/>
    <w:rsid w:val="008C5BCE"/>
    <w:rsid w:val="008D150C"/>
    <w:rsid w:val="008D35B3"/>
    <w:rsid w:val="008D4E89"/>
    <w:rsid w:val="008D5C69"/>
    <w:rsid w:val="008E57DE"/>
    <w:rsid w:val="008E5885"/>
    <w:rsid w:val="008E63B5"/>
    <w:rsid w:val="008E6C07"/>
    <w:rsid w:val="00900790"/>
    <w:rsid w:val="00903140"/>
    <w:rsid w:val="00910782"/>
    <w:rsid w:val="009107E9"/>
    <w:rsid w:val="00910A6C"/>
    <w:rsid w:val="0091371C"/>
    <w:rsid w:val="00913F6E"/>
    <w:rsid w:val="00917B9C"/>
    <w:rsid w:val="00920BC0"/>
    <w:rsid w:val="00922DCB"/>
    <w:rsid w:val="00930410"/>
    <w:rsid w:val="00932AFA"/>
    <w:rsid w:val="00935CDC"/>
    <w:rsid w:val="00943875"/>
    <w:rsid w:val="0094448B"/>
    <w:rsid w:val="00945785"/>
    <w:rsid w:val="00954657"/>
    <w:rsid w:val="00954FC5"/>
    <w:rsid w:val="009572BD"/>
    <w:rsid w:val="0097460C"/>
    <w:rsid w:val="00974845"/>
    <w:rsid w:val="00974DD5"/>
    <w:rsid w:val="009802AC"/>
    <w:rsid w:val="00980F39"/>
    <w:rsid w:val="009856CA"/>
    <w:rsid w:val="00992256"/>
    <w:rsid w:val="00992DF3"/>
    <w:rsid w:val="00996BE6"/>
    <w:rsid w:val="009A6A26"/>
    <w:rsid w:val="009B14BA"/>
    <w:rsid w:val="009B1D2A"/>
    <w:rsid w:val="009B220B"/>
    <w:rsid w:val="009B2645"/>
    <w:rsid w:val="009C0A09"/>
    <w:rsid w:val="009C22DE"/>
    <w:rsid w:val="009C50AA"/>
    <w:rsid w:val="009C55FC"/>
    <w:rsid w:val="009D301E"/>
    <w:rsid w:val="009D3332"/>
    <w:rsid w:val="009D4228"/>
    <w:rsid w:val="009D51F2"/>
    <w:rsid w:val="009D6AA9"/>
    <w:rsid w:val="009E0F4F"/>
    <w:rsid w:val="009E21E1"/>
    <w:rsid w:val="009E3531"/>
    <w:rsid w:val="009F15AF"/>
    <w:rsid w:val="009F7BC9"/>
    <w:rsid w:val="00A02417"/>
    <w:rsid w:val="00A06B83"/>
    <w:rsid w:val="00A10634"/>
    <w:rsid w:val="00A1199F"/>
    <w:rsid w:val="00A12BC4"/>
    <w:rsid w:val="00A155AC"/>
    <w:rsid w:val="00A21C42"/>
    <w:rsid w:val="00A24AC0"/>
    <w:rsid w:val="00A252ED"/>
    <w:rsid w:val="00A278C7"/>
    <w:rsid w:val="00A27D57"/>
    <w:rsid w:val="00A3072D"/>
    <w:rsid w:val="00A318A0"/>
    <w:rsid w:val="00A32194"/>
    <w:rsid w:val="00A321C9"/>
    <w:rsid w:val="00A33D67"/>
    <w:rsid w:val="00A369F7"/>
    <w:rsid w:val="00A44B6E"/>
    <w:rsid w:val="00A4555A"/>
    <w:rsid w:val="00A46171"/>
    <w:rsid w:val="00A50FC3"/>
    <w:rsid w:val="00A515FD"/>
    <w:rsid w:val="00A56288"/>
    <w:rsid w:val="00A57A76"/>
    <w:rsid w:val="00A63B03"/>
    <w:rsid w:val="00A64A53"/>
    <w:rsid w:val="00A668FF"/>
    <w:rsid w:val="00A712A6"/>
    <w:rsid w:val="00A80676"/>
    <w:rsid w:val="00A85D91"/>
    <w:rsid w:val="00A86A81"/>
    <w:rsid w:val="00A9118D"/>
    <w:rsid w:val="00A93A92"/>
    <w:rsid w:val="00AA09C5"/>
    <w:rsid w:val="00AA5A6A"/>
    <w:rsid w:val="00AB2442"/>
    <w:rsid w:val="00AB371C"/>
    <w:rsid w:val="00AB4D8F"/>
    <w:rsid w:val="00AB5424"/>
    <w:rsid w:val="00AB5D19"/>
    <w:rsid w:val="00AB7CD1"/>
    <w:rsid w:val="00AC52BA"/>
    <w:rsid w:val="00AD27D2"/>
    <w:rsid w:val="00AD321E"/>
    <w:rsid w:val="00AD4818"/>
    <w:rsid w:val="00AE372E"/>
    <w:rsid w:val="00AF0F01"/>
    <w:rsid w:val="00B0626E"/>
    <w:rsid w:val="00B077F7"/>
    <w:rsid w:val="00B13133"/>
    <w:rsid w:val="00B165A3"/>
    <w:rsid w:val="00B20EAA"/>
    <w:rsid w:val="00B22257"/>
    <w:rsid w:val="00B24F0E"/>
    <w:rsid w:val="00B25182"/>
    <w:rsid w:val="00B348E8"/>
    <w:rsid w:val="00B34FD7"/>
    <w:rsid w:val="00B36829"/>
    <w:rsid w:val="00B36B1A"/>
    <w:rsid w:val="00B402FF"/>
    <w:rsid w:val="00B41102"/>
    <w:rsid w:val="00B446F9"/>
    <w:rsid w:val="00B452BD"/>
    <w:rsid w:val="00B457E3"/>
    <w:rsid w:val="00B47FA7"/>
    <w:rsid w:val="00B5164D"/>
    <w:rsid w:val="00B51AC3"/>
    <w:rsid w:val="00B537DE"/>
    <w:rsid w:val="00B62558"/>
    <w:rsid w:val="00B7224F"/>
    <w:rsid w:val="00B75DC5"/>
    <w:rsid w:val="00B76081"/>
    <w:rsid w:val="00B82526"/>
    <w:rsid w:val="00B830C9"/>
    <w:rsid w:val="00B93539"/>
    <w:rsid w:val="00B93B5E"/>
    <w:rsid w:val="00B94295"/>
    <w:rsid w:val="00B95088"/>
    <w:rsid w:val="00BA0757"/>
    <w:rsid w:val="00BA0F1A"/>
    <w:rsid w:val="00BA283E"/>
    <w:rsid w:val="00BA4BE4"/>
    <w:rsid w:val="00BC3103"/>
    <w:rsid w:val="00BC7293"/>
    <w:rsid w:val="00BD06AE"/>
    <w:rsid w:val="00BD0D7E"/>
    <w:rsid w:val="00BD1049"/>
    <w:rsid w:val="00BD2185"/>
    <w:rsid w:val="00BD2C77"/>
    <w:rsid w:val="00BE0B99"/>
    <w:rsid w:val="00BE1D5B"/>
    <w:rsid w:val="00BE2B7D"/>
    <w:rsid w:val="00BE56CA"/>
    <w:rsid w:val="00BE63A2"/>
    <w:rsid w:val="00BF0F01"/>
    <w:rsid w:val="00BF4B90"/>
    <w:rsid w:val="00BF7B87"/>
    <w:rsid w:val="00C004B3"/>
    <w:rsid w:val="00C04D77"/>
    <w:rsid w:val="00C13F8A"/>
    <w:rsid w:val="00C17E7E"/>
    <w:rsid w:val="00C20454"/>
    <w:rsid w:val="00C21DB2"/>
    <w:rsid w:val="00C3021A"/>
    <w:rsid w:val="00C31668"/>
    <w:rsid w:val="00C33695"/>
    <w:rsid w:val="00C35FEF"/>
    <w:rsid w:val="00C36538"/>
    <w:rsid w:val="00C366F0"/>
    <w:rsid w:val="00C37A75"/>
    <w:rsid w:val="00C40D6A"/>
    <w:rsid w:val="00C45C95"/>
    <w:rsid w:val="00C46725"/>
    <w:rsid w:val="00C46D0C"/>
    <w:rsid w:val="00C52BC7"/>
    <w:rsid w:val="00C55A79"/>
    <w:rsid w:val="00C6227D"/>
    <w:rsid w:val="00C67537"/>
    <w:rsid w:val="00C701D3"/>
    <w:rsid w:val="00C71938"/>
    <w:rsid w:val="00C728A3"/>
    <w:rsid w:val="00C72BBF"/>
    <w:rsid w:val="00C83DF1"/>
    <w:rsid w:val="00C905BF"/>
    <w:rsid w:val="00C90AC6"/>
    <w:rsid w:val="00C91398"/>
    <w:rsid w:val="00C9665B"/>
    <w:rsid w:val="00CA47F8"/>
    <w:rsid w:val="00CA506C"/>
    <w:rsid w:val="00CA5C86"/>
    <w:rsid w:val="00CA7140"/>
    <w:rsid w:val="00CB01DA"/>
    <w:rsid w:val="00CB37D0"/>
    <w:rsid w:val="00CB47D7"/>
    <w:rsid w:val="00CB772A"/>
    <w:rsid w:val="00CC026E"/>
    <w:rsid w:val="00CC0755"/>
    <w:rsid w:val="00CC0A6B"/>
    <w:rsid w:val="00CC3A88"/>
    <w:rsid w:val="00CC6841"/>
    <w:rsid w:val="00CC70E3"/>
    <w:rsid w:val="00CD3667"/>
    <w:rsid w:val="00CD3C86"/>
    <w:rsid w:val="00CD60CD"/>
    <w:rsid w:val="00CD7E6D"/>
    <w:rsid w:val="00CE0A33"/>
    <w:rsid w:val="00CE0C68"/>
    <w:rsid w:val="00CE11EB"/>
    <w:rsid w:val="00CE2799"/>
    <w:rsid w:val="00CF0ECF"/>
    <w:rsid w:val="00CF2C58"/>
    <w:rsid w:val="00CF3883"/>
    <w:rsid w:val="00CF6B75"/>
    <w:rsid w:val="00CF7D00"/>
    <w:rsid w:val="00D02DE7"/>
    <w:rsid w:val="00D040E0"/>
    <w:rsid w:val="00D058A9"/>
    <w:rsid w:val="00D069F1"/>
    <w:rsid w:val="00D22C5F"/>
    <w:rsid w:val="00D2300B"/>
    <w:rsid w:val="00D23133"/>
    <w:rsid w:val="00D2385C"/>
    <w:rsid w:val="00D2648D"/>
    <w:rsid w:val="00D27E29"/>
    <w:rsid w:val="00D32E25"/>
    <w:rsid w:val="00D33F44"/>
    <w:rsid w:val="00D33FF5"/>
    <w:rsid w:val="00D34414"/>
    <w:rsid w:val="00D35831"/>
    <w:rsid w:val="00D40E5E"/>
    <w:rsid w:val="00D418DD"/>
    <w:rsid w:val="00D440E5"/>
    <w:rsid w:val="00D441CD"/>
    <w:rsid w:val="00D46829"/>
    <w:rsid w:val="00D504E7"/>
    <w:rsid w:val="00D57532"/>
    <w:rsid w:val="00D669AB"/>
    <w:rsid w:val="00D71E4D"/>
    <w:rsid w:val="00D73BD9"/>
    <w:rsid w:val="00D76809"/>
    <w:rsid w:val="00D76B8F"/>
    <w:rsid w:val="00D80688"/>
    <w:rsid w:val="00D81A14"/>
    <w:rsid w:val="00D8468A"/>
    <w:rsid w:val="00D84DAB"/>
    <w:rsid w:val="00D8543D"/>
    <w:rsid w:val="00D86F62"/>
    <w:rsid w:val="00D9070A"/>
    <w:rsid w:val="00D967D8"/>
    <w:rsid w:val="00DA02BF"/>
    <w:rsid w:val="00DA45D7"/>
    <w:rsid w:val="00DA586C"/>
    <w:rsid w:val="00DB1E53"/>
    <w:rsid w:val="00DB6EAA"/>
    <w:rsid w:val="00DB7D5C"/>
    <w:rsid w:val="00DC02F4"/>
    <w:rsid w:val="00DC1045"/>
    <w:rsid w:val="00DD4452"/>
    <w:rsid w:val="00DD54B7"/>
    <w:rsid w:val="00DD74A8"/>
    <w:rsid w:val="00DD7D81"/>
    <w:rsid w:val="00DE2B82"/>
    <w:rsid w:val="00DF2F9F"/>
    <w:rsid w:val="00DF39D2"/>
    <w:rsid w:val="00DF4CDD"/>
    <w:rsid w:val="00DF5C9B"/>
    <w:rsid w:val="00DF6907"/>
    <w:rsid w:val="00E0091B"/>
    <w:rsid w:val="00E01CDE"/>
    <w:rsid w:val="00E11378"/>
    <w:rsid w:val="00E15920"/>
    <w:rsid w:val="00E204B0"/>
    <w:rsid w:val="00E21B88"/>
    <w:rsid w:val="00E230EF"/>
    <w:rsid w:val="00E32ADD"/>
    <w:rsid w:val="00E33C0C"/>
    <w:rsid w:val="00E36D76"/>
    <w:rsid w:val="00E372F0"/>
    <w:rsid w:val="00E37AA1"/>
    <w:rsid w:val="00E415A6"/>
    <w:rsid w:val="00E46609"/>
    <w:rsid w:val="00E54528"/>
    <w:rsid w:val="00E56AA0"/>
    <w:rsid w:val="00E60A78"/>
    <w:rsid w:val="00E65181"/>
    <w:rsid w:val="00E71843"/>
    <w:rsid w:val="00E71B06"/>
    <w:rsid w:val="00E82C15"/>
    <w:rsid w:val="00E9109E"/>
    <w:rsid w:val="00E925AD"/>
    <w:rsid w:val="00E93513"/>
    <w:rsid w:val="00EA042C"/>
    <w:rsid w:val="00EB36F1"/>
    <w:rsid w:val="00EB3BA4"/>
    <w:rsid w:val="00EB43DA"/>
    <w:rsid w:val="00EB79E2"/>
    <w:rsid w:val="00EC694B"/>
    <w:rsid w:val="00ED1D5A"/>
    <w:rsid w:val="00ED2011"/>
    <w:rsid w:val="00ED48EB"/>
    <w:rsid w:val="00ED5816"/>
    <w:rsid w:val="00EE48C6"/>
    <w:rsid w:val="00EE5884"/>
    <w:rsid w:val="00EF344D"/>
    <w:rsid w:val="00F039F5"/>
    <w:rsid w:val="00F07573"/>
    <w:rsid w:val="00F106E1"/>
    <w:rsid w:val="00F11A33"/>
    <w:rsid w:val="00F23065"/>
    <w:rsid w:val="00F2352E"/>
    <w:rsid w:val="00F24F7F"/>
    <w:rsid w:val="00F319BF"/>
    <w:rsid w:val="00F32528"/>
    <w:rsid w:val="00F33E7A"/>
    <w:rsid w:val="00F36CE1"/>
    <w:rsid w:val="00F408B2"/>
    <w:rsid w:val="00F471BC"/>
    <w:rsid w:val="00F47529"/>
    <w:rsid w:val="00F50D02"/>
    <w:rsid w:val="00F51A0E"/>
    <w:rsid w:val="00F561F8"/>
    <w:rsid w:val="00F61FA4"/>
    <w:rsid w:val="00F62750"/>
    <w:rsid w:val="00F6503C"/>
    <w:rsid w:val="00F657C7"/>
    <w:rsid w:val="00F72278"/>
    <w:rsid w:val="00F73532"/>
    <w:rsid w:val="00F906AC"/>
    <w:rsid w:val="00F90F31"/>
    <w:rsid w:val="00F926FE"/>
    <w:rsid w:val="00FA0A9C"/>
    <w:rsid w:val="00FA24D9"/>
    <w:rsid w:val="00FB4321"/>
    <w:rsid w:val="00FB4E01"/>
    <w:rsid w:val="00FC0DE0"/>
    <w:rsid w:val="00FC7155"/>
    <w:rsid w:val="00FD1D3E"/>
    <w:rsid w:val="00FD2AE8"/>
    <w:rsid w:val="00FD2C1B"/>
    <w:rsid w:val="00FD4E44"/>
    <w:rsid w:val="00FD5AFE"/>
    <w:rsid w:val="00FE3334"/>
    <w:rsid w:val="00FE37D4"/>
    <w:rsid w:val="00FE4357"/>
    <w:rsid w:val="00FE46CA"/>
    <w:rsid w:val="00FE4740"/>
    <w:rsid w:val="00FE4C80"/>
    <w:rsid w:val="00FE6253"/>
    <w:rsid w:val="00FF44C3"/>
    <w:rsid w:val="02142560"/>
    <w:rsid w:val="022308B2"/>
    <w:rsid w:val="02410877"/>
    <w:rsid w:val="025370CE"/>
    <w:rsid w:val="02883BBB"/>
    <w:rsid w:val="029370C7"/>
    <w:rsid w:val="02C47E16"/>
    <w:rsid w:val="02C5763B"/>
    <w:rsid w:val="02FE4AE2"/>
    <w:rsid w:val="03D42344"/>
    <w:rsid w:val="03E71F77"/>
    <w:rsid w:val="04A93F1B"/>
    <w:rsid w:val="04DD45FB"/>
    <w:rsid w:val="05167559"/>
    <w:rsid w:val="0522787A"/>
    <w:rsid w:val="05A60002"/>
    <w:rsid w:val="06661CBA"/>
    <w:rsid w:val="06DA0ED5"/>
    <w:rsid w:val="06DD7CD9"/>
    <w:rsid w:val="071A266C"/>
    <w:rsid w:val="071F0897"/>
    <w:rsid w:val="07632078"/>
    <w:rsid w:val="07C65E32"/>
    <w:rsid w:val="0837249C"/>
    <w:rsid w:val="08DF474E"/>
    <w:rsid w:val="095A2688"/>
    <w:rsid w:val="096C0084"/>
    <w:rsid w:val="0B1A73CC"/>
    <w:rsid w:val="0B7401DA"/>
    <w:rsid w:val="0C967945"/>
    <w:rsid w:val="0D9F3292"/>
    <w:rsid w:val="0DC9002D"/>
    <w:rsid w:val="0DD338DB"/>
    <w:rsid w:val="0F6D6287"/>
    <w:rsid w:val="0F871B1B"/>
    <w:rsid w:val="0FF15C7F"/>
    <w:rsid w:val="10794560"/>
    <w:rsid w:val="10BB15FD"/>
    <w:rsid w:val="11197E55"/>
    <w:rsid w:val="114C0ABA"/>
    <w:rsid w:val="11CF7C5B"/>
    <w:rsid w:val="11D579F4"/>
    <w:rsid w:val="12637D51"/>
    <w:rsid w:val="12AB31C9"/>
    <w:rsid w:val="12BE5A40"/>
    <w:rsid w:val="13A47C15"/>
    <w:rsid w:val="13AF06E9"/>
    <w:rsid w:val="13B53681"/>
    <w:rsid w:val="1426671F"/>
    <w:rsid w:val="14313330"/>
    <w:rsid w:val="144C4FA3"/>
    <w:rsid w:val="1506415F"/>
    <w:rsid w:val="15627425"/>
    <w:rsid w:val="15BD1CB8"/>
    <w:rsid w:val="160F6143"/>
    <w:rsid w:val="16DF1F2B"/>
    <w:rsid w:val="16E5672B"/>
    <w:rsid w:val="16F52B83"/>
    <w:rsid w:val="173331F0"/>
    <w:rsid w:val="178F3176"/>
    <w:rsid w:val="179963AD"/>
    <w:rsid w:val="17BB73E0"/>
    <w:rsid w:val="17F60B99"/>
    <w:rsid w:val="184155D1"/>
    <w:rsid w:val="186B098C"/>
    <w:rsid w:val="18854D55"/>
    <w:rsid w:val="18A31822"/>
    <w:rsid w:val="19014283"/>
    <w:rsid w:val="19031D93"/>
    <w:rsid w:val="193A6D7D"/>
    <w:rsid w:val="19773EF4"/>
    <w:rsid w:val="1B773694"/>
    <w:rsid w:val="1B7941F4"/>
    <w:rsid w:val="1BA13597"/>
    <w:rsid w:val="1BEB759F"/>
    <w:rsid w:val="1BEF1060"/>
    <w:rsid w:val="1C2438E7"/>
    <w:rsid w:val="1C5D0F97"/>
    <w:rsid w:val="1C9410B9"/>
    <w:rsid w:val="1CCB23E4"/>
    <w:rsid w:val="1CDE7261"/>
    <w:rsid w:val="1D60661B"/>
    <w:rsid w:val="1E2D59B3"/>
    <w:rsid w:val="1F192001"/>
    <w:rsid w:val="20004667"/>
    <w:rsid w:val="20E95356"/>
    <w:rsid w:val="228912C3"/>
    <w:rsid w:val="22BB5520"/>
    <w:rsid w:val="22C212D4"/>
    <w:rsid w:val="23247856"/>
    <w:rsid w:val="233555B2"/>
    <w:rsid w:val="23AB1002"/>
    <w:rsid w:val="23EB7FF4"/>
    <w:rsid w:val="24D7150C"/>
    <w:rsid w:val="262F752B"/>
    <w:rsid w:val="2662643E"/>
    <w:rsid w:val="2670619E"/>
    <w:rsid w:val="26BB57AA"/>
    <w:rsid w:val="26EE69F6"/>
    <w:rsid w:val="27176BC2"/>
    <w:rsid w:val="281D4251"/>
    <w:rsid w:val="288505D4"/>
    <w:rsid w:val="28EC3315"/>
    <w:rsid w:val="2A431CC4"/>
    <w:rsid w:val="2ABC604D"/>
    <w:rsid w:val="2ADA652F"/>
    <w:rsid w:val="2AEA3EB6"/>
    <w:rsid w:val="2CB35BE4"/>
    <w:rsid w:val="2CEE0A01"/>
    <w:rsid w:val="2D2531BE"/>
    <w:rsid w:val="2D8B48AA"/>
    <w:rsid w:val="2DB568C2"/>
    <w:rsid w:val="2E863BB5"/>
    <w:rsid w:val="2EA5109B"/>
    <w:rsid w:val="2F6D1A02"/>
    <w:rsid w:val="2FD30088"/>
    <w:rsid w:val="2FFA5E75"/>
    <w:rsid w:val="30C024DB"/>
    <w:rsid w:val="30D6242D"/>
    <w:rsid w:val="31F14E40"/>
    <w:rsid w:val="327E5B37"/>
    <w:rsid w:val="33C712E6"/>
    <w:rsid w:val="345469BB"/>
    <w:rsid w:val="357A6A02"/>
    <w:rsid w:val="35D905E4"/>
    <w:rsid w:val="36B77ECB"/>
    <w:rsid w:val="37DB48B2"/>
    <w:rsid w:val="38462D60"/>
    <w:rsid w:val="397A6A2C"/>
    <w:rsid w:val="39C15564"/>
    <w:rsid w:val="3AAA6CA5"/>
    <w:rsid w:val="3ACE60FB"/>
    <w:rsid w:val="3B6F7273"/>
    <w:rsid w:val="3C422EF9"/>
    <w:rsid w:val="3C46630A"/>
    <w:rsid w:val="3C5D7B3F"/>
    <w:rsid w:val="3CB006AF"/>
    <w:rsid w:val="3CDC5607"/>
    <w:rsid w:val="3D8114BE"/>
    <w:rsid w:val="3D982502"/>
    <w:rsid w:val="3D9926D1"/>
    <w:rsid w:val="3E1C7A79"/>
    <w:rsid w:val="3E1D5DAD"/>
    <w:rsid w:val="3E1E6168"/>
    <w:rsid w:val="3F282FD7"/>
    <w:rsid w:val="3F46042E"/>
    <w:rsid w:val="3FA13842"/>
    <w:rsid w:val="3FC60EA1"/>
    <w:rsid w:val="3FD06890"/>
    <w:rsid w:val="41D7041B"/>
    <w:rsid w:val="42645D07"/>
    <w:rsid w:val="42872A4B"/>
    <w:rsid w:val="42A34946"/>
    <w:rsid w:val="42CC180E"/>
    <w:rsid w:val="43D81418"/>
    <w:rsid w:val="45614FC5"/>
    <w:rsid w:val="457F4A10"/>
    <w:rsid w:val="4618375C"/>
    <w:rsid w:val="466F7C95"/>
    <w:rsid w:val="46852002"/>
    <w:rsid w:val="47697189"/>
    <w:rsid w:val="47A33864"/>
    <w:rsid w:val="47B26B34"/>
    <w:rsid w:val="48CE391B"/>
    <w:rsid w:val="49483966"/>
    <w:rsid w:val="496665B1"/>
    <w:rsid w:val="4ADF3DEE"/>
    <w:rsid w:val="4B5954FC"/>
    <w:rsid w:val="4BB263E5"/>
    <w:rsid w:val="4CCC4519"/>
    <w:rsid w:val="4CEA2B3C"/>
    <w:rsid w:val="4D4F6A79"/>
    <w:rsid w:val="4DF47BD0"/>
    <w:rsid w:val="4DFE797D"/>
    <w:rsid w:val="4E8B2268"/>
    <w:rsid w:val="4E9E507B"/>
    <w:rsid w:val="4ED5393E"/>
    <w:rsid w:val="4F4006C3"/>
    <w:rsid w:val="4F4A6C75"/>
    <w:rsid w:val="4F572357"/>
    <w:rsid w:val="4F613933"/>
    <w:rsid w:val="4FB87457"/>
    <w:rsid w:val="4FEA7546"/>
    <w:rsid w:val="504C2C22"/>
    <w:rsid w:val="50D25B9C"/>
    <w:rsid w:val="51BC5129"/>
    <w:rsid w:val="51E4236A"/>
    <w:rsid w:val="526523F4"/>
    <w:rsid w:val="53033FB8"/>
    <w:rsid w:val="53C30BAD"/>
    <w:rsid w:val="54842AE3"/>
    <w:rsid w:val="54F94449"/>
    <w:rsid w:val="551A07FF"/>
    <w:rsid w:val="561D2427"/>
    <w:rsid w:val="569E3114"/>
    <w:rsid w:val="56BC7FA7"/>
    <w:rsid w:val="56DC44E9"/>
    <w:rsid w:val="572F741C"/>
    <w:rsid w:val="573F7634"/>
    <w:rsid w:val="58404614"/>
    <w:rsid w:val="585E4055"/>
    <w:rsid w:val="58F836B6"/>
    <w:rsid w:val="5A3F7C21"/>
    <w:rsid w:val="5AF154E1"/>
    <w:rsid w:val="5B203CAB"/>
    <w:rsid w:val="5B4F6CE8"/>
    <w:rsid w:val="5B6040FB"/>
    <w:rsid w:val="5C630C5C"/>
    <w:rsid w:val="5C69004A"/>
    <w:rsid w:val="5D9F4184"/>
    <w:rsid w:val="5DD976D7"/>
    <w:rsid w:val="5EBD07FC"/>
    <w:rsid w:val="5F4A333E"/>
    <w:rsid w:val="60266CCC"/>
    <w:rsid w:val="60274B11"/>
    <w:rsid w:val="608702E4"/>
    <w:rsid w:val="60D72A7B"/>
    <w:rsid w:val="61261DAB"/>
    <w:rsid w:val="617321F1"/>
    <w:rsid w:val="623143ED"/>
    <w:rsid w:val="62326B15"/>
    <w:rsid w:val="623E71FD"/>
    <w:rsid w:val="62AF643A"/>
    <w:rsid w:val="62CF0062"/>
    <w:rsid w:val="638468EB"/>
    <w:rsid w:val="646728EF"/>
    <w:rsid w:val="6487173C"/>
    <w:rsid w:val="64E416E2"/>
    <w:rsid w:val="660C7C50"/>
    <w:rsid w:val="663F65CD"/>
    <w:rsid w:val="66541AE1"/>
    <w:rsid w:val="67CB3049"/>
    <w:rsid w:val="68285F8A"/>
    <w:rsid w:val="683B3663"/>
    <w:rsid w:val="68D33F9E"/>
    <w:rsid w:val="69DA00C2"/>
    <w:rsid w:val="69E91525"/>
    <w:rsid w:val="6A1B6A7A"/>
    <w:rsid w:val="6B4668F6"/>
    <w:rsid w:val="6B6C2D49"/>
    <w:rsid w:val="6B98437B"/>
    <w:rsid w:val="6CED3827"/>
    <w:rsid w:val="6DB67F59"/>
    <w:rsid w:val="6E9544FD"/>
    <w:rsid w:val="6F3C2E82"/>
    <w:rsid w:val="70804313"/>
    <w:rsid w:val="70902E58"/>
    <w:rsid w:val="713B1800"/>
    <w:rsid w:val="713B59D2"/>
    <w:rsid w:val="71712AC3"/>
    <w:rsid w:val="71B453DB"/>
    <w:rsid w:val="72BF6ABA"/>
    <w:rsid w:val="73071749"/>
    <w:rsid w:val="73204A55"/>
    <w:rsid w:val="73A21A82"/>
    <w:rsid w:val="73E2055B"/>
    <w:rsid w:val="76545BA8"/>
    <w:rsid w:val="770C4FF2"/>
    <w:rsid w:val="77AE2F84"/>
    <w:rsid w:val="77C41140"/>
    <w:rsid w:val="78B2543A"/>
    <w:rsid w:val="79087892"/>
    <w:rsid w:val="79230F60"/>
    <w:rsid w:val="79ED3B53"/>
    <w:rsid w:val="7A5B7FC4"/>
    <w:rsid w:val="7AC5142A"/>
    <w:rsid w:val="7AE02C9A"/>
    <w:rsid w:val="7B171DF2"/>
    <w:rsid w:val="7B27317D"/>
    <w:rsid w:val="7B407CB7"/>
    <w:rsid w:val="7B685167"/>
    <w:rsid w:val="7C0001D6"/>
    <w:rsid w:val="7C646A7B"/>
    <w:rsid w:val="7C71497B"/>
    <w:rsid w:val="7D133D5F"/>
    <w:rsid w:val="7E11338F"/>
    <w:rsid w:val="7E25571F"/>
    <w:rsid w:val="7E3E76FC"/>
    <w:rsid w:val="7FFF320A"/>
    <w:rsid w:val="ADF655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Verdana" w:hAnsi="Verdan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styleId="2">
    <w:name w:val="heading 2"/>
    <w:basedOn w:val="1"/>
    <w:next w:val="3"/>
    <w:link w:val="27"/>
    <w:qFormat/>
    <w:uiPriority w:val="0"/>
    <w:pPr>
      <w:keepNext/>
      <w:outlineLvl w:val="1"/>
    </w:pPr>
    <w:rPr>
      <w:rFonts w:ascii="Arial" w:hAnsi="Arial" w:eastAsia="MS Gothic"/>
      <w:lang w:eastAsia="ja-JP"/>
    </w:rPr>
  </w:style>
  <w:style w:type="paragraph" w:styleId="4">
    <w:name w:val="heading 3"/>
    <w:basedOn w:val="1"/>
    <w:next w:val="1"/>
    <w:link w:val="4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0"/>
    <w:qFormat/>
    <w:uiPriority w:val="9"/>
    <w:pPr>
      <w:keepNext/>
      <w:keepLines/>
      <w:spacing w:before="280" w:after="290" w:line="360" w:lineRule="auto"/>
      <w:outlineLvl w:val="3"/>
    </w:pPr>
    <w:rPr>
      <w:rFonts w:ascii="Cambria" w:hAnsi="Cambria"/>
      <w:b/>
      <w:bCs/>
      <w:kern w:val="2"/>
      <w:sz w:val="28"/>
      <w:szCs w:val="28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left="851"/>
    </w:pPr>
    <w:rPr>
      <w:rFonts w:ascii="Times New Roman" w:hAnsi="Times New Roman" w:eastAsia="MS PMincho"/>
      <w:lang w:eastAsia="ja-JP"/>
    </w:rPr>
  </w:style>
  <w:style w:type="paragraph" w:styleId="6">
    <w:name w:val="Document Map"/>
    <w:basedOn w:val="1"/>
    <w:link w:val="31"/>
    <w:semiHidden/>
    <w:qFormat/>
    <w:uiPriority w:val="0"/>
    <w:pPr>
      <w:shd w:val="clear" w:color="auto" w:fill="000080"/>
    </w:pPr>
    <w:rPr>
      <w:rFonts w:ascii="Times New Roman" w:hAnsi="Times New Roman"/>
      <w:szCs w:val="24"/>
    </w:rPr>
  </w:style>
  <w:style w:type="paragraph" w:styleId="7">
    <w:name w:val="annotation text"/>
    <w:basedOn w:val="1"/>
    <w:link w:val="38"/>
    <w:semiHidden/>
    <w:unhideWhenUsed/>
    <w:qFormat/>
    <w:uiPriority w:val="99"/>
    <w:pPr>
      <w:jc w:val="left"/>
    </w:pPr>
    <w:rPr>
      <w:kern w:val="2"/>
      <w:sz w:val="21"/>
      <w:szCs w:val="22"/>
    </w:rPr>
  </w:style>
  <w:style w:type="paragraph" w:styleId="8">
    <w:name w:val="Body Text"/>
    <w:basedOn w:val="1"/>
    <w:link w:val="42"/>
    <w:semiHidden/>
    <w:unhideWhenUsed/>
    <w:qFormat/>
    <w:uiPriority w:val="99"/>
    <w:pPr>
      <w:spacing w:after="120"/>
    </w:pPr>
  </w:style>
  <w:style w:type="paragraph" w:styleId="9">
    <w:name w:val="Body Text Indent"/>
    <w:basedOn w:val="1"/>
    <w:link w:val="29"/>
    <w:qFormat/>
    <w:uiPriority w:val="0"/>
    <w:pPr>
      <w:spacing w:line="360" w:lineRule="auto"/>
      <w:ind w:firstLine="560" w:firstLineChars="200"/>
    </w:pPr>
    <w:rPr>
      <w:rFonts w:ascii="宋体" w:hAnsi="宋体"/>
      <w:sz w:val="28"/>
      <w:szCs w:val="24"/>
    </w:rPr>
  </w:style>
  <w:style w:type="paragraph" w:styleId="10">
    <w:name w:val="Plain Text"/>
    <w:basedOn w:val="1"/>
    <w:qFormat/>
    <w:uiPriority w:val="0"/>
    <w:pPr>
      <w:spacing w:line="240" w:lineRule="auto"/>
      <w:ind w:firstLine="0" w:firstLineChars="0"/>
      <w:jc w:val="center"/>
    </w:pPr>
    <w:rPr>
      <w:rFonts w:cs="Times New Roman"/>
      <w:szCs w:val="20"/>
    </w:rPr>
  </w:style>
  <w:style w:type="paragraph" w:styleId="11">
    <w:name w:val="Date"/>
    <w:basedOn w:val="1"/>
    <w:next w:val="1"/>
    <w:link w:val="28"/>
    <w:qFormat/>
    <w:uiPriority w:val="0"/>
    <w:pPr>
      <w:ind w:left="100" w:leftChars="2500"/>
    </w:pPr>
    <w:rPr>
      <w:rFonts w:ascii="宋体" w:hAnsi="宋体"/>
      <w:b/>
      <w:sz w:val="24"/>
      <w:szCs w:val="24"/>
    </w:rPr>
  </w:style>
  <w:style w:type="paragraph" w:styleId="12">
    <w:name w:val="Balloon Text"/>
    <w:basedOn w:val="1"/>
    <w:link w:val="3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2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unhideWhenUsed/>
    <w:qFormat/>
    <w:uiPriority w:val="39"/>
    <w:pPr>
      <w:tabs>
        <w:tab w:val="left" w:pos="630"/>
        <w:tab w:val="right" w:leader="dot" w:pos="9344"/>
      </w:tabs>
      <w:spacing w:line="360" w:lineRule="auto"/>
    </w:pPr>
  </w:style>
  <w:style w:type="paragraph" w:styleId="16">
    <w:name w:val="Body Text Indent 3"/>
    <w:basedOn w:val="1"/>
    <w:link w:val="30"/>
    <w:qFormat/>
    <w:uiPriority w:val="0"/>
    <w:pPr>
      <w:spacing w:after="120"/>
      <w:ind w:left="420" w:leftChars="200"/>
    </w:pPr>
    <w:rPr>
      <w:rFonts w:ascii="Times New Roman" w:hAnsi="Times New Roman"/>
      <w:sz w:val="16"/>
      <w:szCs w:val="16"/>
    </w:rPr>
  </w:style>
  <w:style w:type="paragraph" w:styleId="17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18">
    <w:name w:val="annotation subject"/>
    <w:basedOn w:val="7"/>
    <w:next w:val="7"/>
    <w:link w:val="39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qFormat/>
    <w:uiPriority w:val="0"/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5">
    <w:name w:val="页眉 字符"/>
    <w:link w:val="14"/>
    <w:qFormat/>
    <w:uiPriority w:val="0"/>
    <w:rPr>
      <w:sz w:val="18"/>
      <w:szCs w:val="18"/>
    </w:rPr>
  </w:style>
  <w:style w:type="character" w:customStyle="1" w:styleId="26">
    <w:name w:val="页脚 字符"/>
    <w:link w:val="13"/>
    <w:qFormat/>
    <w:uiPriority w:val="0"/>
    <w:rPr>
      <w:sz w:val="18"/>
      <w:szCs w:val="18"/>
    </w:rPr>
  </w:style>
  <w:style w:type="character" w:customStyle="1" w:styleId="27">
    <w:name w:val="标题 2 字符"/>
    <w:link w:val="2"/>
    <w:qFormat/>
    <w:uiPriority w:val="0"/>
    <w:rPr>
      <w:rFonts w:ascii="Arial" w:hAnsi="Arial" w:eastAsia="MS Gothic" w:cs="Times New Roman"/>
      <w:szCs w:val="20"/>
      <w:lang w:eastAsia="ja-JP"/>
    </w:rPr>
  </w:style>
  <w:style w:type="character" w:customStyle="1" w:styleId="28">
    <w:name w:val="日期 字符"/>
    <w:link w:val="11"/>
    <w:qFormat/>
    <w:uiPriority w:val="0"/>
    <w:rPr>
      <w:rFonts w:ascii="宋体" w:hAnsi="宋体" w:eastAsia="宋体" w:cs="Times New Roman"/>
      <w:b/>
      <w:sz w:val="24"/>
      <w:szCs w:val="24"/>
    </w:rPr>
  </w:style>
  <w:style w:type="character" w:customStyle="1" w:styleId="29">
    <w:name w:val="正文文本缩进 字符"/>
    <w:link w:val="9"/>
    <w:qFormat/>
    <w:uiPriority w:val="0"/>
    <w:rPr>
      <w:rFonts w:ascii="宋体" w:hAnsi="宋体" w:eastAsia="宋体" w:cs="Times New Roman"/>
      <w:sz w:val="28"/>
      <w:szCs w:val="24"/>
    </w:rPr>
  </w:style>
  <w:style w:type="character" w:customStyle="1" w:styleId="30">
    <w:name w:val="正文文本缩进 3 字符"/>
    <w:link w:val="16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31">
    <w:name w:val="文档结构图 字符"/>
    <w:link w:val="6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32">
    <w:name w:val="Char"/>
    <w:basedOn w:val="1"/>
    <w:qFormat/>
    <w:uiPriority w:val="0"/>
    <w:rPr>
      <w:rFonts w:ascii="Tahoma" w:hAnsi="Tahoma"/>
      <w:sz w:val="24"/>
    </w:rPr>
  </w:style>
  <w:style w:type="paragraph" w:customStyle="1" w:styleId="33">
    <w:name w:val="Char Char Char Char Char Char Char"/>
    <w:basedOn w:val="1"/>
    <w:qFormat/>
    <w:uiPriority w:val="0"/>
    <w:rPr>
      <w:rFonts w:ascii="Arial" w:hAnsi="Arial" w:cs="Arial"/>
    </w:rPr>
  </w:style>
  <w:style w:type="paragraph" w:customStyle="1" w:styleId="34">
    <w:name w:val="Char1"/>
    <w:basedOn w:val="1"/>
    <w:qFormat/>
    <w:uiPriority w:val="0"/>
    <w:rPr>
      <w:rFonts w:ascii="Tahoma" w:hAnsi="Tahoma"/>
      <w:sz w:val="24"/>
    </w:rPr>
  </w:style>
  <w:style w:type="paragraph" w:customStyle="1" w:styleId="35">
    <w:name w:val="Char Char Char"/>
    <w:basedOn w:val="1"/>
    <w:qFormat/>
    <w:uiPriority w:val="0"/>
    <w:rPr>
      <w:rFonts w:ascii="Tahoma" w:hAnsi="Tahoma" w:cs="Tahoma"/>
      <w:sz w:val="24"/>
      <w:szCs w:val="24"/>
    </w:rPr>
  </w:style>
  <w:style w:type="paragraph" w:styleId="36">
    <w:name w:val="List Paragraph"/>
    <w:basedOn w:val="1"/>
    <w:qFormat/>
    <w:uiPriority w:val="34"/>
    <w:pPr>
      <w:ind w:firstLine="420" w:firstLineChars="200"/>
    </w:pPr>
    <w:rPr>
      <w:rFonts w:ascii="Times New Roman" w:hAnsi="Times New Roman"/>
      <w:szCs w:val="24"/>
    </w:rPr>
  </w:style>
  <w:style w:type="character" w:customStyle="1" w:styleId="37">
    <w:name w:val="批注框文本 字符"/>
    <w:link w:val="12"/>
    <w:semiHidden/>
    <w:qFormat/>
    <w:uiPriority w:val="99"/>
    <w:rPr>
      <w:sz w:val="18"/>
      <w:szCs w:val="18"/>
    </w:rPr>
  </w:style>
  <w:style w:type="character" w:customStyle="1" w:styleId="38">
    <w:name w:val="批注文字 字符"/>
    <w:link w:val="7"/>
    <w:semiHidden/>
    <w:qFormat/>
    <w:uiPriority w:val="99"/>
    <w:rPr>
      <w:kern w:val="2"/>
      <w:sz w:val="21"/>
      <w:szCs w:val="22"/>
    </w:rPr>
  </w:style>
  <w:style w:type="character" w:customStyle="1" w:styleId="39">
    <w:name w:val="批注主题 字符"/>
    <w:link w:val="18"/>
    <w:semiHidden/>
    <w:qFormat/>
    <w:uiPriority w:val="99"/>
    <w:rPr>
      <w:b/>
      <w:bCs/>
      <w:kern w:val="2"/>
      <w:sz w:val="21"/>
      <w:szCs w:val="22"/>
    </w:rPr>
  </w:style>
  <w:style w:type="character" w:customStyle="1" w:styleId="40">
    <w:name w:val="标题 4 字符"/>
    <w:link w:val="5"/>
    <w:qFormat/>
    <w:uiPriority w:val="9"/>
    <w:rPr>
      <w:rFonts w:ascii="Cambria" w:hAnsi="Cambria"/>
      <w:b/>
      <w:bCs/>
      <w:kern w:val="2"/>
      <w:sz w:val="28"/>
      <w:szCs w:val="28"/>
    </w:rPr>
  </w:style>
  <w:style w:type="paragraph" w:customStyle="1" w:styleId="4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42">
    <w:name w:val="正文文本 字符"/>
    <w:basedOn w:val="21"/>
    <w:link w:val="8"/>
    <w:semiHidden/>
    <w:qFormat/>
    <w:uiPriority w:val="99"/>
  </w:style>
  <w:style w:type="paragraph" w:customStyle="1" w:styleId="43">
    <w:name w:val="WPSOffice手动目录 1"/>
    <w:qFormat/>
    <w:uiPriority w:val="0"/>
    <w:rPr>
      <w:rFonts w:ascii="Verdana" w:hAnsi="Verdana" w:eastAsia="宋体" w:cs="Times New Roman"/>
      <w:lang w:val="en-US" w:eastAsia="zh-CN" w:bidi="ar-SA"/>
    </w:rPr>
  </w:style>
  <w:style w:type="character" w:customStyle="1" w:styleId="44">
    <w:name w:val="标题 3 字符"/>
    <w:basedOn w:val="21"/>
    <w:link w:val="4"/>
    <w:qFormat/>
    <w:uiPriority w:val="9"/>
    <w:rPr>
      <w:rFonts w:ascii="Calibri" w:hAnsi="Calibri"/>
      <w:b/>
      <w:bCs/>
      <w:sz w:val="32"/>
      <w:szCs w:val="32"/>
    </w:rPr>
  </w:style>
  <w:style w:type="character" w:customStyle="1" w:styleId="45">
    <w:name w:val="标题 字符"/>
    <w:basedOn w:val="21"/>
    <w:link w:val="17"/>
    <w:qFormat/>
    <w:uiPriority w:val="10"/>
    <w:rPr>
      <w:rFonts w:asciiTheme="majorHAnsi" w:hAnsiTheme="majorHAnsi" w:cstheme="majorBidi"/>
      <w:b/>
      <w:bCs/>
      <w:sz w:val="32"/>
      <w:szCs w:val="32"/>
    </w:rPr>
  </w:style>
  <w:style w:type="paragraph" w:customStyle="1" w:styleId="46">
    <w:name w:val="图表标题"/>
    <w:basedOn w:val="1"/>
    <w:next w:val="1"/>
    <w:qFormat/>
    <w:uiPriority w:val="0"/>
    <w:pPr>
      <w:snapToGrid/>
      <w:spacing w:before="120" w:after="120" w:line="240" w:lineRule="auto"/>
      <w:ind w:firstLine="0" w:firstLineChars="0"/>
      <w:jc w:val="center"/>
    </w:pPr>
    <w:rPr>
      <w:rFonts w:ascii="Times New Roman" w:hAnsi="Times New Roman" w:cs="Times New Roman"/>
    </w:rPr>
  </w:style>
  <w:style w:type="table" w:customStyle="1" w:styleId="47">
    <w:name w:val="方案专用"/>
    <w:basedOn w:val="19"/>
    <w:qFormat/>
    <w:uiPriority w:val="99"/>
    <w:pPr>
      <w:jc w:val="center"/>
    </w:pPr>
    <w:tblPr>
      <w:jc w:val="center"/>
      <w:tblBorders>
        <w:top w:val="single" w:color="auto" w:sz="4" w:space="0"/>
        <w:bottom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23"/>
    <customShpInfo spid="_x0000_s4124"/>
    <customShpInfo spid="_x0000_s4125"/>
    <customShpInfo spid="_x0000_s4126"/>
    <customShpInfo spid="_x0000_s4127"/>
    <customShpInfo spid="_x0000_s4128"/>
    <customShpInfo spid="_x0000_s4129"/>
    <customShpInfo spid="_x0000_s4130"/>
    <customShpInfo spid="_x0000_s4131"/>
    <customShpInfo spid="_x0000_s4132"/>
    <customShpInfo spid="_x0000_s4133"/>
    <customShpInfo spid="_x0000_s4134"/>
    <customShpInfo spid="_x0000_s4135"/>
    <customShpInfo spid="_x0000_s4136"/>
    <customShpInfo spid="_x0000_s4137"/>
    <customShpInfo spid="_x0000_s4138"/>
    <customShpInfo spid="_x0000_s4139"/>
    <customShpInfo spid="_x0000_s4140"/>
    <customShpInfo spid="_x0000_s4141"/>
    <customShpInfo spid="_x0000_s4142"/>
    <customShpInfo spid="_x0000_s4143"/>
    <customShpInfo spid="_x0000_s4144"/>
    <customShpInfo spid="_x0000_s4145"/>
    <customShpInfo spid="_x0000_s4146"/>
    <customShpInfo spid="_x0000_s4147"/>
    <customShpInfo spid="_x0000_s4148"/>
    <customShpInfo spid="_x0000_s4097"/>
    <customShpInfo spid="_x0000_s4098"/>
    <customShpInfo spid="_x0000_s4099"/>
    <customShpInfo spid="_x0000_s4100"/>
    <customShpInfo spid="_x0000_s4101"/>
    <customShpInfo spid="_x0000_s4102"/>
    <customShpInfo spid="_x0000_s4103"/>
    <customShpInfo spid="_x0000_s4104"/>
    <customShpInfo spid="_x0000_s4105"/>
    <customShpInfo spid="_x0000_s4106"/>
    <customShpInfo spid="_x0000_s4107"/>
    <customShpInfo spid="_x0000_s4108"/>
    <customShpInfo spid="_x0000_s4109"/>
    <customShpInfo spid="_x0000_s4110"/>
    <customShpInfo spid="_x0000_s4111"/>
    <customShpInfo spid="_x0000_s4112"/>
    <customShpInfo spid="_x0000_s4113"/>
    <customShpInfo spid="_x0000_s4114"/>
    <customShpInfo spid="_x0000_s4115"/>
    <customShpInfo spid="_x0000_s4116"/>
    <customShpInfo spid="_x0000_s4117"/>
    <customShpInfo spid="_x0000_s4118"/>
    <customShpInfo spid="_x0000_s4119"/>
    <customShpInfo spid="_x0000_s4120"/>
    <customShpInfo spid="_x0000_s4121"/>
    <customShpInfo spid="_x0000_s412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8</Pages>
  <Words>360</Words>
  <Characters>2055</Characters>
  <Lines>17</Lines>
  <Paragraphs>4</Paragraphs>
  <TotalTime>31</TotalTime>
  <ScaleCrop>false</ScaleCrop>
  <LinksUpToDate>false</LinksUpToDate>
  <CharactersWithSpaces>2411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2022-07-06T17:29:00Z</dcterms:created>
  <dc:creator>程伟洲</dc:creator>
  <cp:lastModifiedBy>Lenovo</cp:lastModifiedBy>
  <cp:lastPrinted>2021-05-26T15:49:00Z</cp:lastPrinted>
  <dcterms:modified xsi:type="dcterms:W3CDTF">2026-01-26T08:35:09Z</dcterms:modified>
  <dc:title>编号： JC12—GC094                                        受控状态：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3FC90A7B209E42DA8C4B675E7E9433D8</vt:lpwstr>
  </property>
</Properties>
</file>